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0F73A" w14:textId="77777777" w:rsidR="00277233" w:rsidRDefault="00000000">
      <w:pPr>
        <w:pStyle w:val="Heading2"/>
        <w:spacing w:line="240" w:lineRule="auto"/>
        <w:jc w:val="center"/>
        <w:rPr>
          <w:rFonts w:ascii="Times New Roman" w:eastAsia="Times New Roman" w:hAnsi="Times New Roman" w:cs="Times New Roman"/>
          <w:b/>
          <w:color w:val="1155CC"/>
          <w:sz w:val="28"/>
          <w:szCs w:val="28"/>
        </w:rPr>
      </w:pPr>
      <w:bookmarkStart w:id="0" w:name="_j6fs4pm465b7" w:colFirst="0" w:colLast="0"/>
      <w:bookmarkEnd w:id="0"/>
      <w:r>
        <w:rPr>
          <w:rFonts w:ascii="Times New Roman" w:eastAsia="Times New Roman" w:hAnsi="Times New Roman" w:cs="Times New Roman"/>
          <w:b/>
          <w:color w:val="1155CC"/>
          <w:sz w:val="28"/>
          <w:szCs w:val="28"/>
        </w:rPr>
        <w:t xml:space="preserve">The case for integrated water, land and ecosystems management: </w:t>
      </w:r>
      <w:r>
        <w:rPr>
          <w:rFonts w:ascii="Times New Roman" w:eastAsia="Times New Roman" w:hAnsi="Times New Roman" w:cs="Times New Roman"/>
          <w:b/>
          <w:color w:val="1155CC"/>
          <w:sz w:val="28"/>
          <w:szCs w:val="28"/>
        </w:rPr>
        <w:br/>
        <w:t>supporting multiple sustainable development objectives across the SDGs</w:t>
      </w:r>
    </w:p>
    <w:p w14:paraId="0E49423E" w14:textId="77777777" w:rsidR="00277233" w:rsidRDefault="00277233">
      <w:pPr>
        <w:spacing w:line="240" w:lineRule="auto"/>
        <w:rPr>
          <w:rFonts w:ascii="Times New Roman" w:eastAsia="Times New Roman" w:hAnsi="Times New Roman" w:cs="Times New Roman"/>
        </w:rPr>
      </w:pPr>
    </w:p>
    <w:p w14:paraId="2B7EF3A8"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color w:val="1155CC"/>
          <w:sz w:val="36"/>
          <w:szCs w:val="36"/>
        </w:rPr>
        <w:t xml:space="preserve">Why? </w:t>
      </w:r>
      <w:r>
        <w:rPr>
          <w:rFonts w:ascii="Times New Roman" w:eastAsia="Times New Roman" w:hAnsi="Times New Roman" w:cs="Times New Roman"/>
        </w:rPr>
        <w:t xml:space="preserve">The three pillars of sustainable development </w:t>
      </w:r>
      <w:r>
        <w:rPr>
          <w:color w:val="4D5156"/>
          <w:sz w:val="21"/>
          <w:szCs w:val="21"/>
          <w:highlight w:val="white"/>
        </w:rPr>
        <w:t>—</w:t>
      </w:r>
      <w:r>
        <w:rPr>
          <w:rFonts w:ascii="Times New Roman" w:eastAsia="Times New Roman" w:hAnsi="Times New Roman" w:cs="Times New Roman"/>
        </w:rPr>
        <w:t>economic, social and environmental</w:t>
      </w:r>
      <w:r>
        <w:rPr>
          <w:color w:val="4D5156"/>
          <w:sz w:val="21"/>
          <w:szCs w:val="21"/>
          <w:highlight w:val="white"/>
        </w:rPr>
        <w:t>—</w:t>
      </w:r>
      <w:r>
        <w:rPr>
          <w:rFonts w:ascii="Times New Roman" w:eastAsia="Times New Roman" w:hAnsi="Times New Roman" w:cs="Times New Roman"/>
        </w:rPr>
        <w:t xml:space="preserve"> have been used for decades as a planning framework by governments, the United Nations, and other development partners. However, treating them as ‘separate’ pillars risks trade-offs between them. The interrelated nature of these pillars has become increasingly recognised, and there have been countless articles and reports on the interconnectedness of the Sustainable Development Goals. This has also been recognised to varying degrees within the main planning agreement between the UN system and the government in each country </w:t>
      </w:r>
      <w:r>
        <w:rPr>
          <w:color w:val="4D5156"/>
          <w:sz w:val="21"/>
          <w:szCs w:val="21"/>
          <w:highlight w:val="white"/>
        </w:rPr>
        <w:t>—</w:t>
      </w:r>
      <w:r>
        <w:rPr>
          <w:rFonts w:ascii="Times New Roman" w:eastAsia="Times New Roman" w:hAnsi="Times New Roman" w:cs="Times New Roman"/>
        </w:rPr>
        <w:t>the UN Sustainable Development Cooperation Framework</w:t>
      </w:r>
      <w:r>
        <w:rPr>
          <w:color w:val="4D5156"/>
          <w:sz w:val="21"/>
          <w:szCs w:val="21"/>
          <w:highlight w:val="white"/>
        </w:rPr>
        <w:t>—</w:t>
      </w:r>
      <w:r>
        <w:rPr>
          <w:rFonts w:ascii="Times New Roman" w:eastAsia="Times New Roman" w:hAnsi="Times New Roman" w:cs="Times New Roman"/>
        </w:rPr>
        <w:t xml:space="preserve"> as well as in the reshaped institutional arrangements of UN Country Teams to ‘deliver as one’, with agency programmes coordinated by the Resident Coordinator's Offices. </w:t>
      </w:r>
      <w:r>
        <w:rPr>
          <w:noProof/>
        </w:rPr>
        <w:drawing>
          <wp:anchor distT="114300" distB="114300" distL="114300" distR="114300" simplePos="0" relativeHeight="251658240" behindDoc="0" locked="0" layoutInCell="1" hidden="0" allowOverlap="1" wp14:anchorId="2B9569FE" wp14:editId="1E0FFA6F">
            <wp:simplePos x="0" y="0"/>
            <wp:positionH relativeFrom="column">
              <wp:posOffset>2400300</wp:posOffset>
            </wp:positionH>
            <wp:positionV relativeFrom="paragraph">
              <wp:posOffset>1504950</wp:posOffset>
            </wp:positionV>
            <wp:extent cx="3769709" cy="2336434"/>
            <wp:effectExtent l="12700" t="12700" r="12700" b="1270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769709" cy="2336434"/>
                    </a:xfrm>
                    <a:prstGeom prst="rect">
                      <a:avLst/>
                    </a:prstGeom>
                    <a:ln w="12700">
                      <a:solidFill>
                        <a:srgbClr val="000000"/>
                      </a:solidFill>
                      <a:prstDash val="solid"/>
                    </a:ln>
                  </pic:spPr>
                </pic:pic>
              </a:graphicData>
            </a:graphic>
          </wp:anchor>
        </w:drawing>
      </w:r>
    </w:p>
    <w:p w14:paraId="4056312C" w14:textId="77777777" w:rsidR="00277233" w:rsidRDefault="00277233">
      <w:pPr>
        <w:spacing w:line="240" w:lineRule="auto"/>
        <w:rPr>
          <w:rFonts w:ascii="Times New Roman" w:eastAsia="Times New Roman" w:hAnsi="Times New Roman" w:cs="Times New Roman"/>
        </w:rPr>
      </w:pPr>
    </w:p>
    <w:p w14:paraId="45A94737"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However, integrating and coordinating work across the pillars, particularly in the </w:t>
      </w:r>
      <w:r>
        <w:rPr>
          <w:rFonts w:ascii="Times New Roman" w:eastAsia="Times New Roman" w:hAnsi="Times New Roman" w:cs="Times New Roman"/>
          <w:i/>
        </w:rPr>
        <w:t>implementation</w:t>
      </w:r>
      <w:r>
        <w:rPr>
          <w:rFonts w:ascii="Times New Roman" w:eastAsia="Times New Roman" w:hAnsi="Times New Roman" w:cs="Times New Roman"/>
        </w:rPr>
        <w:t xml:space="preserve"> of the Cooperation Frameworks, remains a challenge.</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One aspect that is increasingly urgent to address in practice is how the environmental pillar </w:t>
      </w:r>
      <w:r>
        <w:rPr>
          <w:rFonts w:ascii="Times New Roman" w:eastAsia="Times New Roman" w:hAnsi="Times New Roman" w:cs="Times New Roman"/>
          <w:i/>
        </w:rPr>
        <w:t>underpins</w:t>
      </w:r>
      <w:r>
        <w:rPr>
          <w:rFonts w:ascii="Times New Roman" w:eastAsia="Times New Roman" w:hAnsi="Times New Roman" w:cs="Times New Roman"/>
        </w:rPr>
        <w:t xml:space="preserve"> the social and economic pillars (Figure 1).</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w:t>
      </w:r>
    </w:p>
    <w:p w14:paraId="0A1DE7D8" w14:textId="77777777" w:rsidR="00277233" w:rsidRDefault="00277233">
      <w:pPr>
        <w:spacing w:line="240" w:lineRule="auto"/>
        <w:rPr>
          <w:rFonts w:ascii="Times New Roman" w:eastAsia="Times New Roman" w:hAnsi="Times New Roman" w:cs="Times New Roman"/>
        </w:rPr>
      </w:pPr>
    </w:p>
    <w:p w14:paraId="3853FB4C"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color w:val="1155CC"/>
          <w:sz w:val="36"/>
          <w:szCs w:val="36"/>
        </w:rPr>
        <w:t xml:space="preserve">What? </w:t>
      </w:r>
      <w:r>
        <w:rPr>
          <w:rFonts w:ascii="Times New Roman" w:eastAsia="Times New Roman" w:hAnsi="Times New Roman" w:cs="Times New Roman"/>
        </w:rPr>
        <w:t xml:space="preserve">One concept driving much of the work of UN agencies and governments alike in this space is the recognition that natural resources </w:t>
      </w:r>
      <w:r>
        <w:rPr>
          <w:color w:val="4D5156"/>
          <w:sz w:val="21"/>
          <w:szCs w:val="21"/>
          <w:highlight w:val="white"/>
        </w:rPr>
        <w:t>—</w:t>
      </w:r>
      <w:r>
        <w:rPr>
          <w:rFonts w:ascii="Times New Roman" w:eastAsia="Times New Roman" w:hAnsi="Times New Roman" w:cs="Times New Roman"/>
        </w:rPr>
        <w:t>water, land, ecosystems and biodiversity</w:t>
      </w:r>
      <w:r>
        <w:rPr>
          <w:color w:val="4D5156"/>
          <w:sz w:val="21"/>
          <w:szCs w:val="21"/>
          <w:highlight w:val="white"/>
        </w:rPr>
        <w:t>—</w:t>
      </w:r>
      <w:r>
        <w:rPr>
          <w:rFonts w:ascii="Times New Roman" w:eastAsia="Times New Roman" w:hAnsi="Times New Roman" w:cs="Times New Roman"/>
        </w:rPr>
        <w:t xml:space="preserve"> need to be managed at the river basin, or catchment, level, to support sustainable socio-economic development in each watershed. Integrated Water Resources Management (IWRM) can help governments do just that:</w:t>
      </w:r>
    </w:p>
    <w:p w14:paraId="08DC646F" w14:textId="77777777" w:rsidR="00277233" w:rsidRDefault="00277233">
      <w:pPr>
        <w:spacing w:line="240" w:lineRule="auto"/>
        <w:rPr>
          <w:rFonts w:ascii="Times New Roman" w:eastAsia="Times New Roman" w:hAnsi="Times New Roman" w:cs="Times New Roman"/>
        </w:rPr>
      </w:pPr>
    </w:p>
    <w:p w14:paraId="0A05B74A" w14:textId="77777777" w:rsidR="00277233"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color w:val="6D9EEB"/>
        </w:rPr>
        <w:t>IWRM</w:t>
      </w:r>
      <w:r>
        <w:rPr>
          <w:rFonts w:ascii="Times New Roman" w:eastAsia="Times New Roman" w:hAnsi="Times New Roman" w:cs="Times New Roman"/>
          <w:i/>
          <w:color w:val="6D9EEB"/>
        </w:rPr>
        <w:t xml:space="preserve"> “is a process that promotes the coordinated development and management of water, land and related resources in order to maximise economic and social welfare in an equitable manner without compromising the sustainability of vital ecosystems.</w:t>
      </w:r>
      <w:r>
        <w:rPr>
          <w:rFonts w:ascii="Times New Roman" w:eastAsia="Times New Roman" w:hAnsi="Times New Roman" w:cs="Times New Roman"/>
          <w:color w:val="6D9EEB"/>
        </w:rPr>
        <w:t>”</w:t>
      </w:r>
      <w:r>
        <w:rPr>
          <w:rFonts w:ascii="Times New Roman" w:eastAsia="Times New Roman" w:hAnsi="Times New Roman" w:cs="Times New Roman"/>
          <w:color w:val="6D9EEB"/>
          <w:vertAlign w:val="superscript"/>
        </w:rPr>
        <w:footnoteReference w:id="3"/>
      </w:r>
      <w:r>
        <w:rPr>
          <w:rFonts w:ascii="Times New Roman" w:eastAsia="Times New Roman" w:hAnsi="Times New Roman" w:cs="Times New Roman"/>
          <w:color w:val="6D9EEB"/>
        </w:rPr>
        <w:t xml:space="preserve"> This is achieved through coordinated policy and regulatory frameworks, management arrangements and financing.</w:t>
      </w:r>
      <w:r>
        <w:rPr>
          <w:rFonts w:ascii="Times New Roman" w:eastAsia="Times New Roman" w:hAnsi="Times New Roman" w:cs="Times New Roman"/>
          <w:color w:val="6D9EEB"/>
          <w:vertAlign w:val="superscript"/>
        </w:rPr>
        <w:footnoteReference w:id="4"/>
      </w:r>
    </w:p>
    <w:p w14:paraId="185557DE" w14:textId="77777777" w:rsidR="00277233" w:rsidRDefault="00277233">
      <w:pPr>
        <w:spacing w:line="240" w:lineRule="auto"/>
        <w:rPr>
          <w:rFonts w:ascii="Times New Roman" w:eastAsia="Times New Roman" w:hAnsi="Times New Roman" w:cs="Times New Roman"/>
        </w:rPr>
      </w:pPr>
    </w:p>
    <w:p w14:paraId="1D18AC27"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SDG target 6.5 also calls for IWRM’s broad uptake: “By 2030, implement integrated water resources management at all levels, including through transboundary cooperation as appropriate.” In this light, IWRM already enjoys a long history of success and has been adapted for, tested and proven in a wide range of contexts around the world to ensure ecosystems and their services are feeding into sustainable </w:t>
      </w:r>
      <w:r>
        <w:rPr>
          <w:rFonts w:ascii="Times New Roman" w:eastAsia="Times New Roman" w:hAnsi="Times New Roman" w:cs="Times New Roman"/>
        </w:rPr>
        <w:lastRenderedPageBreak/>
        <w:t xml:space="preserve">socio-economic development. Indeed, political will to implement IWRM is strong within most countries’ </w:t>
      </w:r>
      <w:hyperlink r:id="rId7">
        <w:r>
          <w:rPr>
            <w:rFonts w:ascii="Times New Roman" w:eastAsia="Times New Roman" w:hAnsi="Times New Roman" w:cs="Times New Roman"/>
            <w:color w:val="1155CC"/>
            <w:u w:val="single"/>
          </w:rPr>
          <w:t>water ministries</w:t>
        </w:r>
      </w:hyperlink>
      <w:r>
        <w:rPr>
          <w:rFonts w:ascii="Times New Roman" w:eastAsia="Times New Roman" w:hAnsi="Times New Roman" w:cs="Times New Roman"/>
        </w:rPr>
        <w:t xml:space="preserve"> in Africa, and many UN agencies and other organisations are working on IWRM-related projects and programmes. However, specific mention of IWRM in the design and implementation of many countries’ Cooperation Frameworks is conspicuously absent, representing a major lost opportunity. Furthermore, humanity is far from universal sustainable freshwater use, with estimates calling for a </w:t>
      </w:r>
      <w:hyperlink r:id="rId8">
        <w:r>
          <w:rPr>
            <w:rFonts w:ascii="Times New Roman" w:eastAsia="Times New Roman" w:hAnsi="Times New Roman" w:cs="Times New Roman"/>
            <w:color w:val="1155CC"/>
            <w:u w:val="single"/>
          </w:rPr>
          <w:t>doubling</w:t>
        </w:r>
      </w:hyperlink>
      <w:r>
        <w:rPr>
          <w:rFonts w:ascii="Times New Roman" w:eastAsia="Times New Roman" w:hAnsi="Times New Roman" w:cs="Times New Roman"/>
        </w:rPr>
        <w:t xml:space="preserve"> of IWRM implementation to ensure reliable water supplies and continued development. UNEP, as the global custodian for SDG indicators 6.5.1 on IWRM implementation, 6.3.2 on ambient water quality, and 6.6.1 on freshwater ecosystems, has the mandate and expertise to support holistic programming in these areas, which in turn supports multiple development objectives across the SDGs.  </w:t>
      </w:r>
    </w:p>
    <w:p w14:paraId="5691191A" w14:textId="77777777" w:rsidR="00277233" w:rsidRDefault="00277233">
      <w:pPr>
        <w:pBdr>
          <w:top w:val="nil"/>
          <w:left w:val="nil"/>
          <w:bottom w:val="nil"/>
          <w:right w:val="nil"/>
          <w:between w:val="nil"/>
        </w:pBdr>
        <w:spacing w:line="240" w:lineRule="auto"/>
        <w:rPr>
          <w:rFonts w:ascii="Times New Roman" w:eastAsia="Times New Roman" w:hAnsi="Times New Roman" w:cs="Times New Roman"/>
        </w:rPr>
      </w:pPr>
    </w:p>
    <w:p w14:paraId="177CD87C" w14:textId="77777777" w:rsidR="00277233" w:rsidRDefault="00000000">
      <w:pPr>
        <w:spacing w:line="240" w:lineRule="auto"/>
        <w:ind w:right="-180"/>
        <w:rPr>
          <w:rFonts w:ascii="Times New Roman" w:eastAsia="Times New Roman" w:hAnsi="Times New Roman" w:cs="Times New Roman"/>
          <w:b/>
          <w:color w:val="1155CC"/>
          <w:sz w:val="24"/>
          <w:szCs w:val="24"/>
        </w:rPr>
      </w:pPr>
      <w:r>
        <w:rPr>
          <w:rFonts w:ascii="Times New Roman" w:eastAsia="Times New Roman" w:hAnsi="Times New Roman" w:cs="Times New Roman"/>
          <w:color w:val="1155CC"/>
          <w:sz w:val="36"/>
          <w:szCs w:val="36"/>
        </w:rPr>
        <w:t xml:space="preserve">How? </w:t>
      </w:r>
      <w:r>
        <w:rPr>
          <w:rFonts w:ascii="Times New Roman" w:eastAsia="Times New Roman" w:hAnsi="Times New Roman" w:cs="Times New Roman"/>
          <w:b/>
          <w:color w:val="1155CC"/>
          <w:sz w:val="24"/>
          <w:szCs w:val="24"/>
        </w:rPr>
        <w:t>Nature-based Solutions (NbS) and IWRM support multiple development objectives</w:t>
      </w:r>
    </w:p>
    <w:p w14:paraId="2B89BEF3"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 key aspect of that holistic programming will consist of Nature-based Solutions. In 2022, UN Member States adopted a resolution on </w:t>
      </w:r>
      <w:hyperlink r:id="rId9">
        <w:r>
          <w:rPr>
            <w:rFonts w:ascii="Times New Roman" w:eastAsia="Times New Roman" w:hAnsi="Times New Roman" w:cs="Times New Roman"/>
            <w:i/>
            <w:color w:val="1155CC"/>
            <w:u w:val="single"/>
          </w:rPr>
          <w:t>Nature-based solutions for supporting sustainable development</w:t>
        </w:r>
      </w:hyperlink>
      <w:r>
        <w:rPr>
          <w:rFonts w:ascii="Times New Roman" w:eastAsia="Times New Roman" w:hAnsi="Times New Roman" w:cs="Times New Roman"/>
        </w:rPr>
        <w:t>, which defines Nature-based Solutions (NbS) as “... actions to protect, conserve, restore, sustainably use and manage natural or modified terrestrial, freshwater, coastal and marine ecosystems which address social, economic and environmental challenges effectively and adaptively, while simultaneously providing human well-being, ecosystem services, resilience and biodiversity benefits”. Nature-based solutions for water management tend to require collaboration across, and provide benefits to, multiple sectors. As a result, integrated approaches, including IWRM, are critical in their implementation.</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To illustrate how crucial NbS and IWRM are to socio-economic development, the following subsections provide evidence on how both approaches utilise nature and ecosystems to contribute to a wide range of social and economic development objectives, and most, if not all, the SDGs. Further examples are provided in the “</w:t>
      </w:r>
      <w:hyperlink r:id="rId10">
        <w:r>
          <w:rPr>
            <w:rFonts w:ascii="Times New Roman" w:eastAsia="Times New Roman" w:hAnsi="Times New Roman" w:cs="Times New Roman"/>
            <w:color w:val="1155CC"/>
            <w:u w:val="single"/>
          </w:rPr>
          <w:t>Evidence of success</w:t>
        </w:r>
      </w:hyperlink>
      <w:r>
        <w:rPr>
          <w:rFonts w:ascii="Times New Roman" w:eastAsia="Times New Roman" w:hAnsi="Times New Roman" w:cs="Times New Roman"/>
        </w:rPr>
        <w:t xml:space="preserve">” reference document as part of this series. </w:t>
      </w:r>
    </w:p>
    <w:p w14:paraId="5E6F4911" w14:textId="77777777" w:rsidR="00277233" w:rsidRDefault="00277233">
      <w:pPr>
        <w:spacing w:line="240" w:lineRule="auto"/>
        <w:rPr>
          <w:rFonts w:ascii="Times New Roman" w:eastAsia="Times New Roman" w:hAnsi="Times New Roman" w:cs="Times New Roman"/>
        </w:rPr>
      </w:pPr>
    </w:p>
    <w:p w14:paraId="6E52F461"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b/>
          <w:color w:val="1155CC"/>
        </w:rPr>
        <w:t>Economy and Employment</w:t>
      </w:r>
    </w:p>
    <w:p w14:paraId="7F7619F5"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Nature-based Solutions, or ‘green works’, tend to be labour-intensive, creating </w:t>
      </w:r>
      <w:hyperlink r:id="rId11">
        <w:r>
          <w:rPr>
            <w:rFonts w:ascii="Times New Roman" w:eastAsia="Times New Roman" w:hAnsi="Times New Roman" w:cs="Times New Roman"/>
            <w:color w:val="1155CC"/>
            <w:u w:val="single"/>
          </w:rPr>
          <w:t>more jobs per $1 million USD invested than most other sectors</w:t>
        </w:r>
      </w:hyperlink>
      <w:r>
        <w:rPr>
          <w:rFonts w:ascii="Times New Roman" w:eastAsia="Times New Roman" w:hAnsi="Times New Roman" w:cs="Times New Roman"/>
        </w:rPr>
        <w:t xml:space="preserve">, making them a key choice for policy makers attempting to address unemployment, especially in contexts of rapid rural-to-urban migration and young populations. For example, nature-based projects in India, South Africa and the United States </w:t>
      </w:r>
      <w:hyperlink r:id="rId12">
        <w:r>
          <w:rPr>
            <w:rFonts w:ascii="Times New Roman" w:eastAsia="Times New Roman" w:hAnsi="Times New Roman" w:cs="Times New Roman"/>
            <w:color w:val="1155CC"/>
            <w:u w:val="single"/>
          </w:rPr>
          <w:t>created 155-500 jobs for every $1 million USD invested in watershed improvements and 265-626 jobs for every $1 million USD in afforestation, reforestation and desertification control</w:t>
        </w:r>
      </w:hyperlink>
      <w:r>
        <w:rPr>
          <w:rFonts w:ascii="Times New Roman" w:eastAsia="Times New Roman" w:hAnsi="Times New Roman" w:cs="Times New Roman"/>
        </w:rPr>
        <w:t xml:space="preserve">. These investments lay the foundations for further economic opportunities. Just one example: a Dutch river restoration project </w:t>
      </w:r>
      <w:hyperlink r:id="rId13">
        <w:r>
          <w:rPr>
            <w:rFonts w:ascii="Times New Roman" w:eastAsia="Times New Roman" w:hAnsi="Times New Roman" w:cs="Times New Roman"/>
            <w:color w:val="1155CC"/>
            <w:u w:val="single"/>
          </w:rPr>
          <w:t>led to 170 new jobs, a 10% increase in surrounding property values, and more than $1 billion dollars in annual revenue from tourism</w:t>
        </w:r>
      </w:hyperlink>
      <w:r>
        <w:rPr>
          <w:rFonts w:ascii="Times New Roman" w:eastAsia="Times New Roman" w:hAnsi="Times New Roman" w:cs="Times New Roman"/>
        </w:rPr>
        <w:t>. Investing in nature makes sense for local economies and job creation. And, globally, the returns on investments in nature are projected to be tens of millions of jobs and hundreds of billions of dollars in additional GDP growth. Finally, with nature protection and the uptake of sustainable production practices, countries’ economic bases will diversify, with major gains in ecotourism and sustainable farming, forestry, and fishing, to name a few examples.</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Furthermore, </w:t>
      </w:r>
      <w:hyperlink r:id="rId14">
        <w:r>
          <w:rPr>
            <w:rFonts w:ascii="Times New Roman" w:eastAsia="Times New Roman" w:hAnsi="Times New Roman" w:cs="Times New Roman"/>
            <w:color w:val="1155CC"/>
            <w:u w:val="single"/>
          </w:rPr>
          <w:t>three out of four jobs worldwide are water-dependent</w:t>
        </w:r>
      </w:hyperlink>
      <w:r>
        <w:rPr>
          <w:rFonts w:ascii="Times New Roman" w:eastAsia="Times New Roman" w:hAnsi="Times New Roman" w:cs="Times New Roman"/>
        </w:rPr>
        <w:t>. Ensuring a clean and reliable water supply for all purposes is therefore essential to maintaining economic prosperity.</w:t>
      </w:r>
    </w:p>
    <w:p w14:paraId="70CEBB6B" w14:textId="77777777" w:rsidR="00277233" w:rsidRDefault="004A4985">
      <w:pPr>
        <w:spacing w:line="240" w:lineRule="auto"/>
        <w:rPr>
          <w:rFonts w:ascii="Times New Roman" w:eastAsia="Times New Roman" w:hAnsi="Times New Roman" w:cs="Times New Roman"/>
        </w:rPr>
      </w:pPr>
      <w:r>
        <w:rPr>
          <w:noProof/>
        </w:rPr>
        <w:pict w14:anchorId="660740E6">
          <v:rect id="_x0000_i1030" alt="" style="width:451.3pt;height:.05pt;mso-width-percent:0;mso-height-percent:0;mso-width-percent:0;mso-height-percent:0" o:hralign="center" o:hrstd="t" o:hr="t" fillcolor="#a0a0a0" stroked="f"/>
        </w:pict>
      </w:r>
    </w:p>
    <w:p w14:paraId="45F8FBF8" w14:textId="77777777" w:rsidR="00277233" w:rsidRDefault="00000000">
      <w:pPr>
        <w:spacing w:line="240" w:lineRule="auto"/>
        <w:rPr>
          <w:rFonts w:ascii="Times New Roman" w:eastAsia="Times New Roman" w:hAnsi="Times New Roman" w:cs="Times New Roman"/>
          <w:b/>
          <w:color w:val="1155CC"/>
        </w:rPr>
      </w:pPr>
      <w:r>
        <w:rPr>
          <w:rFonts w:ascii="Times New Roman" w:eastAsia="Times New Roman" w:hAnsi="Times New Roman" w:cs="Times New Roman"/>
          <w:b/>
          <w:color w:val="1155CC"/>
        </w:rPr>
        <w:t>Pollution Reduction and Resilience to Flooding and Extreme Rainfall</w:t>
      </w:r>
    </w:p>
    <w:p w14:paraId="7BE73BEC"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Wetlands and forests are great at trapping water and runoff, and, in doing so, decreasing flooding and reducing pollution levels. For example, a recent publication found 492 case studies regarding the effectiveness of using nature to ensure water quality and quantity in Africa. The review found that floodplain </w:t>
      </w:r>
      <w:hyperlink r:id="rId15">
        <w:r>
          <w:rPr>
            <w:rFonts w:ascii="Times New Roman" w:eastAsia="Times New Roman" w:hAnsi="Times New Roman" w:cs="Times New Roman"/>
            <w:color w:val="1155CC"/>
            <w:u w:val="single"/>
          </w:rPr>
          <w:t>wetlands and forest restoration tend to reduce flood risk and pollution levels</w:t>
        </w:r>
      </w:hyperlink>
      <w:r>
        <w:rPr>
          <w:rFonts w:ascii="Times New Roman" w:eastAsia="Times New Roman" w:hAnsi="Times New Roman" w:cs="Times New Roman"/>
        </w:rPr>
        <w:t>.</w:t>
      </w:r>
    </w:p>
    <w:p w14:paraId="70F2BCF9" w14:textId="77777777" w:rsidR="00277233"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b/>
          <w:u w:val="single"/>
        </w:rPr>
        <w:lastRenderedPageBreak/>
        <w:t>Pollution</w:t>
      </w:r>
      <w:r>
        <w:rPr>
          <w:rFonts w:ascii="Times New Roman" w:eastAsia="Times New Roman" w:hAnsi="Times New Roman" w:cs="Times New Roman"/>
          <w:b/>
        </w:rPr>
        <w:t>:</w:t>
      </w:r>
      <w:r>
        <w:rPr>
          <w:rFonts w:ascii="Times New Roman" w:eastAsia="Times New Roman" w:hAnsi="Times New Roman" w:cs="Times New Roman"/>
          <w:color w:val="1155CC"/>
        </w:rPr>
        <w:t xml:space="preserve"> </w:t>
      </w:r>
      <w:r>
        <w:rPr>
          <w:rFonts w:ascii="Times New Roman" w:eastAsia="Times New Roman" w:hAnsi="Times New Roman" w:cs="Times New Roman"/>
        </w:rPr>
        <w:t xml:space="preserve">Wetlands in particular are excellent for reducing point and non-point source pollution. For example, the town of Bishop’s Falls in Canada wished to save costs on its water treatment facility, so it created the equivalent of 15 soccer fields of artificial wetlands mimicking their natural counterparts, and now the plant’s effluent averages </w:t>
      </w:r>
      <w:hyperlink r:id="rId16">
        <w:r>
          <w:rPr>
            <w:rFonts w:ascii="Times New Roman" w:eastAsia="Times New Roman" w:hAnsi="Times New Roman" w:cs="Times New Roman"/>
            <w:color w:val="1155CC"/>
            <w:u w:val="single"/>
          </w:rPr>
          <w:t>below 10/10 mg/L TSS and BOD, far better than required by regulations</w:t>
        </w:r>
      </w:hyperlink>
      <w:r>
        <w:rPr>
          <w:rFonts w:ascii="Times New Roman" w:eastAsia="Times New Roman" w:hAnsi="Times New Roman" w:cs="Times New Roman"/>
        </w:rPr>
        <w:t xml:space="preserve">. In Tanzania, Constructed Wetlands (CWS) were found to be </w:t>
      </w:r>
      <w:hyperlink r:id="rId17">
        <w:r>
          <w:rPr>
            <w:rFonts w:ascii="Times New Roman" w:eastAsia="Times New Roman" w:hAnsi="Times New Roman" w:cs="Times New Roman"/>
            <w:color w:val="1155CC"/>
            <w:u w:val="single"/>
          </w:rPr>
          <w:t>effective at removing faecal coliform, suspended solids, and nitrates to meet national water standards</w:t>
        </w:r>
      </w:hyperlink>
      <w:r>
        <w:rPr>
          <w:rFonts w:ascii="Times New Roman" w:eastAsia="Times New Roman" w:hAnsi="Times New Roman" w:cs="Times New Roman"/>
        </w:rPr>
        <w:t xml:space="preserve"> and ensure potable water supplies for rural communities. Another study from Uganda showed that the city of Kampala’s Natete wetland was </w:t>
      </w:r>
      <w:hyperlink r:id="rId18">
        <w:r>
          <w:rPr>
            <w:rFonts w:ascii="Times New Roman" w:eastAsia="Times New Roman" w:hAnsi="Times New Roman" w:cs="Times New Roman"/>
            <w:color w:val="1155CC"/>
            <w:u w:val="single"/>
          </w:rPr>
          <w:t>highly effective at reducing nutrient loads</w:t>
        </w:r>
      </w:hyperlink>
      <w:r>
        <w:rPr>
          <w:rFonts w:ascii="Times New Roman" w:eastAsia="Times New Roman" w:hAnsi="Times New Roman" w:cs="Times New Roman"/>
        </w:rPr>
        <w:t xml:space="preserve"> (pollution). Additionally, CWS can also be </w:t>
      </w:r>
      <w:hyperlink r:id="rId19">
        <w:r>
          <w:rPr>
            <w:rFonts w:ascii="Times New Roman" w:eastAsia="Times New Roman" w:hAnsi="Times New Roman" w:cs="Times New Roman"/>
            <w:color w:val="1155CC"/>
            <w:u w:val="single"/>
          </w:rPr>
          <w:t>installed in key areas of farms to reduce chemical and sediment pollution</w:t>
        </w:r>
      </w:hyperlink>
      <w:r>
        <w:rPr>
          <w:rFonts w:ascii="Times New Roman" w:eastAsia="Times New Roman" w:hAnsi="Times New Roman" w:cs="Times New Roman"/>
        </w:rPr>
        <w:t xml:space="preserve"> entering rivers, lakes and streams. Several studies have documented the effectiveness of CWS in reducing a variety of pollution types with some key findings including removal rates of: </w:t>
      </w:r>
      <w:hyperlink r:id="rId20">
        <w:r>
          <w:rPr>
            <w:rFonts w:ascii="Times New Roman" w:eastAsia="Times New Roman" w:hAnsi="Times New Roman" w:cs="Times New Roman"/>
            <w:color w:val="1155CC"/>
            <w:u w:val="single"/>
          </w:rPr>
          <w:t>(1) 70% for organic xenobiotics, (2) 75% - &gt;98% for organic matter (BOD), (3) &gt;75% for metals in general, (4) up to &gt;80% for phosphorus</w:t>
        </w:r>
      </w:hyperlink>
      <w:r>
        <w:rPr>
          <w:rFonts w:ascii="Times New Roman" w:eastAsia="Times New Roman" w:hAnsi="Times New Roman" w:cs="Times New Roman"/>
        </w:rPr>
        <w:t xml:space="preserve">, and (5) </w:t>
      </w:r>
      <w:hyperlink r:id="rId21">
        <w:r>
          <w:rPr>
            <w:rFonts w:ascii="Times New Roman" w:eastAsia="Times New Roman" w:hAnsi="Times New Roman" w:cs="Times New Roman"/>
            <w:color w:val="1155CC"/>
            <w:u w:val="single"/>
          </w:rPr>
          <w:t>between 14%-90% for a range of pharmaceuticals</w:t>
        </w:r>
      </w:hyperlink>
      <w:r>
        <w:rPr>
          <w:rFonts w:ascii="Times New Roman" w:eastAsia="Times New Roman" w:hAnsi="Times New Roman" w:cs="Times New Roman"/>
        </w:rPr>
        <w:t>.</w:t>
      </w:r>
    </w:p>
    <w:p w14:paraId="2B48A08F" w14:textId="77777777" w:rsidR="00277233"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b/>
          <w:u w:val="single"/>
        </w:rPr>
        <w:t>Flood risk</w:t>
      </w:r>
      <w:r>
        <w:rPr>
          <w:rFonts w:ascii="Times New Roman" w:eastAsia="Times New Roman" w:hAnsi="Times New Roman" w:cs="Times New Roman"/>
          <w:b/>
        </w:rPr>
        <w:t>:</w:t>
      </w:r>
      <w:r>
        <w:rPr>
          <w:rFonts w:ascii="Times New Roman" w:eastAsia="Times New Roman" w:hAnsi="Times New Roman" w:cs="Times New Roman"/>
          <w:color w:val="1155CC"/>
        </w:rPr>
        <w:t xml:space="preserve"> </w:t>
      </w:r>
      <w:r>
        <w:rPr>
          <w:rFonts w:ascii="Times New Roman" w:eastAsia="Times New Roman" w:hAnsi="Times New Roman" w:cs="Times New Roman"/>
        </w:rPr>
        <w:t xml:space="preserve">Evidence from a large-scale project in China has demonstrated that forest and grassland restoration decreased soil erosion and thus sedimentation flows while lowering flood risk (Song et al. 2014; Gutiérrez Rodríguez et al. 2016, as cited </w:t>
      </w:r>
      <w:hyperlink r:id="rId22">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Various studies have attempted to valuate these flood-reduction services, For example, one study showed that wetlands helped prevent $625 million USD in flood damages from 2012’s Hurricane Sandy in the United States (Narayan et al. 2017 as cited </w:t>
      </w:r>
      <w:hyperlink r:id="rId23">
        <w:r>
          <w:rPr>
            <w:rFonts w:ascii="Times New Roman" w:eastAsia="Times New Roman" w:hAnsi="Times New Roman" w:cs="Times New Roman"/>
            <w:color w:val="1155CC"/>
            <w:u w:val="single"/>
          </w:rPr>
          <w:t>here</w:t>
        </w:r>
      </w:hyperlink>
      <w:r>
        <w:rPr>
          <w:rFonts w:ascii="Times New Roman" w:eastAsia="Times New Roman" w:hAnsi="Times New Roman" w:cs="Times New Roman"/>
        </w:rPr>
        <w:t xml:space="preserve">). In terms of how many people benefit from ecosystems’ flood protection services, millions are protected by mangrove wetlands alone, either along coasts or riverways. Just in Vietnam, for example, one mangrove replanting project of 9,500 hectares is estimated to </w:t>
      </w:r>
      <w:hyperlink r:id="rId24">
        <w:r>
          <w:rPr>
            <w:rFonts w:ascii="Times New Roman" w:eastAsia="Times New Roman" w:hAnsi="Times New Roman" w:cs="Times New Roman"/>
            <w:color w:val="1155CC"/>
            <w:u w:val="single"/>
          </w:rPr>
          <w:t>protect 2 million people</w:t>
        </w:r>
      </w:hyperlink>
      <w:r>
        <w:rPr>
          <w:rFonts w:ascii="Times New Roman" w:eastAsia="Times New Roman" w:hAnsi="Times New Roman" w:cs="Times New Roman"/>
        </w:rPr>
        <w:t xml:space="preserve"> from flooding. </w:t>
      </w:r>
    </w:p>
    <w:p w14:paraId="1C444A6B" w14:textId="77777777" w:rsidR="00277233"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One excellent way of encouraging wetland creation to generate these pollution- and disaster-risk-reduction benefits for society is the use of “</w:t>
      </w:r>
      <w:hyperlink r:id="rId25">
        <w:r>
          <w:rPr>
            <w:rFonts w:ascii="Times New Roman" w:eastAsia="Times New Roman" w:hAnsi="Times New Roman" w:cs="Times New Roman"/>
            <w:color w:val="1155CC"/>
            <w:u w:val="single"/>
          </w:rPr>
          <w:t>stormwater credits</w:t>
        </w:r>
      </w:hyperlink>
      <w:r>
        <w:rPr>
          <w:rFonts w:ascii="Times New Roman" w:eastAsia="Times New Roman" w:hAnsi="Times New Roman" w:cs="Times New Roman"/>
        </w:rPr>
        <w:t xml:space="preserve">” and “conservation easements.” For the former, a business or household that must pay fees to a utility for the water draining from their property is given a discount on that fee for installing wetlands, rain gardens, vegetated flood plains, etc. Regarding conservation easements, a property owner usually receives tax reductions in exchange for dedicating certain parts of their property to remain as forests or wetlands (an </w:t>
      </w:r>
      <w:hyperlink r:id="rId26">
        <w:r>
          <w:rPr>
            <w:rFonts w:ascii="Times New Roman" w:eastAsia="Times New Roman" w:hAnsi="Times New Roman" w:cs="Times New Roman"/>
            <w:color w:val="1155CC"/>
            <w:u w:val="single"/>
          </w:rPr>
          <w:t>example</w:t>
        </w:r>
      </w:hyperlink>
      <w:r>
        <w:rPr>
          <w:rFonts w:ascii="Times New Roman" w:eastAsia="Times New Roman" w:hAnsi="Times New Roman" w:cs="Times New Roman"/>
        </w:rPr>
        <w:t xml:space="preserve"> from South Africa). See the </w:t>
      </w:r>
      <w:hyperlink r:id="rId27">
        <w:r>
          <w:rPr>
            <w:rFonts w:ascii="Times New Roman" w:eastAsia="Times New Roman" w:hAnsi="Times New Roman" w:cs="Times New Roman"/>
            <w:color w:val="1155CC"/>
            <w:u w:val="single"/>
          </w:rPr>
          <w:t>Finance Toolkit</w:t>
        </w:r>
      </w:hyperlink>
      <w:r>
        <w:rPr>
          <w:rFonts w:ascii="Times New Roman" w:eastAsia="Times New Roman" w:hAnsi="Times New Roman" w:cs="Times New Roman"/>
        </w:rPr>
        <w:t xml:space="preserve"> for other options.</w:t>
      </w:r>
    </w:p>
    <w:p w14:paraId="02E7B4C1" w14:textId="77777777" w:rsidR="00277233" w:rsidRDefault="004A4985">
      <w:pPr>
        <w:spacing w:line="240" w:lineRule="auto"/>
        <w:rPr>
          <w:rFonts w:ascii="Times New Roman" w:eastAsia="Times New Roman" w:hAnsi="Times New Roman" w:cs="Times New Roman"/>
        </w:rPr>
      </w:pPr>
      <w:r>
        <w:rPr>
          <w:noProof/>
        </w:rPr>
        <w:pict w14:anchorId="3AECB734">
          <v:rect id="_x0000_i1029" alt="" style="width:451.3pt;height:.05pt;mso-width-percent:0;mso-height-percent:0;mso-width-percent:0;mso-height-percent:0" o:hralign="center" o:hrstd="t" o:hr="t" fillcolor="#a0a0a0" stroked="f"/>
        </w:pict>
      </w:r>
    </w:p>
    <w:p w14:paraId="0E0E0757" w14:textId="77777777" w:rsidR="00277233" w:rsidRDefault="00000000">
      <w:pPr>
        <w:spacing w:line="240" w:lineRule="auto"/>
        <w:rPr>
          <w:rFonts w:ascii="Times New Roman" w:eastAsia="Times New Roman" w:hAnsi="Times New Roman" w:cs="Times New Roman"/>
          <w:b/>
          <w:color w:val="1155CC"/>
        </w:rPr>
      </w:pPr>
      <w:r>
        <w:rPr>
          <w:rFonts w:ascii="Times New Roman" w:eastAsia="Times New Roman" w:hAnsi="Times New Roman" w:cs="Times New Roman"/>
          <w:b/>
          <w:color w:val="1155CC"/>
        </w:rPr>
        <w:t>Resilience to Water Scarcity &amp; Drought</w:t>
      </w:r>
    </w:p>
    <w:p w14:paraId="4B3C4310" w14:textId="77777777" w:rsidR="00277233" w:rsidRDefault="00000000">
      <w:pPr>
        <w:spacing w:line="240" w:lineRule="auto"/>
        <w:rPr>
          <w:rFonts w:ascii="Times New Roman" w:eastAsia="Times New Roman" w:hAnsi="Times New Roman" w:cs="Times New Roman"/>
          <w:sz w:val="16"/>
          <w:szCs w:val="16"/>
        </w:rPr>
      </w:pPr>
      <w:r>
        <w:rPr>
          <w:rFonts w:ascii="Times New Roman" w:eastAsia="Times New Roman" w:hAnsi="Times New Roman" w:cs="Times New Roman"/>
        </w:rPr>
        <w:t xml:space="preserve">One of the biggest threats to water supply is excessive water extraction, principally for agriculture, which uses </w:t>
      </w:r>
      <w:hyperlink r:id="rId28">
        <w:r>
          <w:rPr>
            <w:rFonts w:ascii="Times New Roman" w:eastAsia="Times New Roman" w:hAnsi="Times New Roman" w:cs="Times New Roman"/>
            <w:color w:val="1155CC"/>
            <w:u w:val="single"/>
          </w:rPr>
          <w:t>70% of all water supplies</w:t>
        </w:r>
      </w:hyperlink>
      <w:r>
        <w:rPr>
          <w:rFonts w:ascii="Times New Roman" w:eastAsia="Times New Roman" w:hAnsi="Times New Roman" w:cs="Times New Roman"/>
        </w:rPr>
        <w:t>, combined with increasingly erratic rainfall due to climate change. This dual threat means the world’s freshwater sources are in trouble, negatively impacting food production, hydropower generation, shipping, and drinking water supplies, among other aspects of human society. Nature can help communities address this threat. Forests, for instance, create and maintain the necessary conditions for more rainfall (</w:t>
      </w:r>
      <w:hyperlink r:id="rId29">
        <w:r>
          <w:rPr>
            <w:rFonts w:ascii="Times New Roman" w:eastAsia="Times New Roman" w:hAnsi="Times New Roman" w:cs="Times New Roman"/>
            <w:color w:val="1155CC"/>
            <w:u w:val="single"/>
          </w:rPr>
          <w:t>at least twice as much after air has passed over extensive vegetation</w:t>
        </w:r>
      </w:hyperlink>
      <w:r>
        <w:rPr>
          <w:rFonts w:ascii="Times New Roman" w:eastAsia="Times New Roman" w:hAnsi="Times New Roman" w:cs="Times New Roman"/>
        </w:rPr>
        <w:t xml:space="preserve">), but </w:t>
      </w:r>
      <w:hyperlink r:id="rId30">
        <w:r>
          <w:rPr>
            <w:rFonts w:ascii="Times New Roman" w:eastAsia="Times New Roman" w:hAnsi="Times New Roman" w:cs="Times New Roman"/>
            <w:color w:val="1155CC"/>
            <w:u w:val="single"/>
          </w:rPr>
          <w:t>clearing vegetation does the exact opposite</w:t>
        </w:r>
      </w:hyperlink>
      <w:r>
        <w:rPr>
          <w:rFonts w:ascii="Times New Roman" w:eastAsia="Times New Roman" w:hAnsi="Times New Roman" w:cs="Times New Roman"/>
        </w:rPr>
        <w:t xml:space="preserve">, reducing overall water entering landscapes, meaning less is available for evapotranspiration and thus less rainfall is triggered. In total, </w:t>
      </w:r>
      <w:hyperlink r:id="rId31">
        <w:r>
          <w:rPr>
            <w:rFonts w:ascii="Times New Roman" w:eastAsia="Times New Roman" w:hAnsi="Times New Roman" w:cs="Times New Roman"/>
            <w:color w:val="1155CC"/>
            <w:u w:val="single"/>
          </w:rPr>
          <w:t>some 40% of rain over land comes from evapotranspiration</w:t>
        </w:r>
      </w:hyperlink>
      <w:r>
        <w:rPr>
          <w:rFonts w:ascii="Times New Roman" w:eastAsia="Times New Roman" w:hAnsi="Times New Roman" w:cs="Times New Roman"/>
        </w:rPr>
        <w:t xml:space="preserve"> of water from plants. For those reasons, it will be essential to convert watersheds and landscapes back to forested and thus water-provisioning “natural infrastructure”, helping </w:t>
      </w:r>
      <w:r>
        <w:rPr>
          <w:rFonts w:ascii="Times New Roman" w:eastAsia="Times New Roman" w:hAnsi="Times New Roman" w:cs="Times New Roman"/>
        </w:rPr>
        <w:lastRenderedPageBreak/>
        <w:t xml:space="preserve">freshwater ecosystems and the water-dependent communities and economies that depend on those ecosystems to continue to thrive despite growing climate impacts and demand. </w:t>
      </w:r>
      <w:r>
        <w:rPr>
          <w:noProof/>
        </w:rPr>
        <w:drawing>
          <wp:anchor distT="114300" distB="114300" distL="114300" distR="114300" simplePos="0" relativeHeight="251659264" behindDoc="0" locked="0" layoutInCell="1" hidden="0" allowOverlap="1" wp14:anchorId="11C91CAE" wp14:editId="6B5DE772">
            <wp:simplePos x="0" y="0"/>
            <wp:positionH relativeFrom="column">
              <wp:posOffset>3390900</wp:posOffset>
            </wp:positionH>
            <wp:positionV relativeFrom="paragraph">
              <wp:posOffset>1790700</wp:posOffset>
            </wp:positionV>
            <wp:extent cx="3038426" cy="2035746"/>
            <wp:effectExtent l="12700" t="12700" r="12700" b="1270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l="50213" t="8695" r="7508" b="25821"/>
                    <a:stretch>
                      <a:fillRect/>
                    </a:stretch>
                  </pic:blipFill>
                  <pic:spPr>
                    <a:xfrm>
                      <a:off x="0" y="0"/>
                      <a:ext cx="3038426" cy="2035746"/>
                    </a:xfrm>
                    <a:prstGeom prst="rect">
                      <a:avLst/>
                    </a:prstGeom>
                    <a:ln w="12700">
                      <a:solidFill>
                        <a:srgbClr val="000000"/>
                      </a:solidFill>
                      <a:prstDash val="solid"/>
                    </a:ln>
                  </pic:spPr>
                </pic:pic>
              </a:graphicData>
            </a:graphic>
          </wp:anchor>
        </w:drawing>
      </w:r>
    </w:p>
    <w:p w14:paraId="61E59EF8"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Agriculture, due to its water use and dependence on rainfall, is the most important actor in transforming watersheds and landscapes back into water-provisioning natural infrastructure. However, this does not mean that farming and livestock raising must suffer. Quite the opposite, ecosystem restoration and the widespread implementation of climate-smart or resilient agricultural practices can help improve water supplies, increase production and save producers and communities money in the process, in addition to generating a variety of investment opportunities. </w:t>
      </w:r>
    </w:p>
    <w:p w14:paraId="411067FC"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 xml:space="preserve">Farmer Managed Natural Regeneration (FMNR) is one of the best ways of restoring watersheds and landscapes with proven results across many countries in Africa. In Ghana, men and women both perceived </w:t>
      </w:r>
      <w:hyperlink r:id="rId33">
        <w:r>
          <w:rPr>
            <w:rFonts w:ascii="Times New Roman" w:eastAsia="Times New Roman" w:hAnsi="Times New Roman" w:cs="Times New Roman"/>
            <w:color w:val="1155CC"/>
            <w:u w:val="single"/>
          </w:rPr>
          <w:t>greater rainfall, more access to fruit, better livestock production and improved soil fertility</w:t>
        </w:r>
      </w:hyperlink>
      <w:r>
        <w:rPr>
          <w:rFonts w:ascii="Times New Roman" w:eastAsia="Times New Roman" w:hAnsi="Times New Roman" w:cs="Times New Roman"/>
        </w:rPr>
        <w:t xml:space="preserve"> (image above). In Ethiopia, FMNR beneficiary testimonials pointed to similar outcomes, including </w:t>
      </w:r>
      <w:hyperlink r:id="rId34">
        <w:r>
          <w:rPr>
            <w:rFonts w:ascii="Times New Roman" w:eastAsia="Times New Roman" w:hAnsi="Times New Roman" w:cs="Times New Roman"/>
            <w:color w:val="1155CC"/>
            <w:u w:val="single"/>
          </w:rPr>
          <w:t>rain, good crop production, and water for livestock</w:t>
        </w:r>
      </w:hyperlink>
      <w:r>
        <w:rPr>
          <w:rFonts w:ascii="Times New Roman" w:eastAsia="Times New Roman" w:hAnsi="Times New Roman" w:cs="Times New Roman"/>
        </w:rPr>
        <w:t>.</w:t>
      </w:r>
    </w:p>
    <w:p w14:paraId="2D720ADC" w14:textId="77777777" w:rsidR="00277233" w:rsidRDefault="00000000">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Like FMNR, agroforestry uses trees to help restore and protect watersheds. More variety in trees and crops means that more water is absorbed by the vegetation and soil and infiltrated into the underlying water table for storage, instead of simply running off the land. Certain combinations of trees and crops can capture </w:t>
      </w:r>
      <w:hyperlink r:id="rId35">
        <w:r>
          <w:rPr>
            <w:rFonts w:ascii="Times New Roman" w:eastAsia="Times New Roman" w:hAnsi="Times New Roman" w:cs="Times New Roman"/>
            <w:color w:val="1155CC"/>
            <w:u w:val="single"/>
          </w:rPr>
          <w:t>up to 70% of rainfall</w:t>
        </w:r>
      </w:hyperlink>
      <w:r>
        <w:rPr>
          <w:rFonts w:ascii="Times New Roman" w:eastAsia="Times New Roman" w:hAnsi="Times New Roman" w:cs="Times New Roman"/>
        </w:rPr>
        <w:t xml:space="preserve"> while certain monocultures may only capture 6% to 16%. Scientists have </w:t>
      </w:r>
      <w:hyperlink r:id="rId36">
        <w:r>
          <w:rPr>
            <w:rFonts w:ascii="Times New Roman" w:eastAsia="Times New Roman" w:hAnsi="Times New Roman" w:cs="Times New Roman"/>
            <w:color w:val="1155CC"/>
            <w:u w:val="single"/>
          </w:rPr>
          <w:t xml:space="preserve">shown </w:t>
        </w:r>
      </w:hyperlink>
      <w:r>
        <w:rPr>
          <w:rFonts w:ascii="Times New Roman" w:eastAsia="Times New Roman" w:hAnsi="Times New Roman" w:cs="Times New Roman"/>
        </w:rPr>
        <w:t xml:space="preserve">that agroforests protect watersheds by ensuring this capture and infiltration of water into soils; without agroforests, one landscape studied in Bialo would see increased runoff, erosion and flooding and decreased water infiltration, affecting local water supply reliability. Finally, in Somalia, projects that used nature-based water-harvesting techniques (bunds, contour strips, balleys, etc. that are combined with FMNR and agroforestry practices) </w:t>
      </w:r>
      <w:hyperlink r:id="rId37">
        <w:r>
          <w:rPr>
            <w:rFonts w:ascii="Times New Roman" w:eastAsia="Times New Roman" w:hAnsi="Times New Roman" w:cs="Times New Roman"/>
            <w:color w:val="1155CC"/>
            <w:u w:val="single"/>
          </w:rPr>
          <w:t>led to a major increase of 83% in water supplies for households (reducing water prices by 77%)</w:t>
        </w:r>
      </w:hyperlink>
      <w:r>
        <w:rPr>
          <w:rFonts w:ascii="Times New Roman" w:eastAsia="Times New Roman" w:hAnsi="Times New Roman" w:cs="Times New Roman"/>
        </w:rPr>
        <w:t xml:space="preserve"> and prevented erosion while improving pasture and water sources for livestock.</w:t>
      </w:r>
    </w:p>
    <w:p w14:paraId="0B176B5F"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
        <w:t>Water Funds (</w:t>
      </w:r>
      <w:hyperlink r:id="rId38">
        <w:r>
          <w:rPr>
            <w:rFonts w:ascii="Times New Roman" w:eastAsia="Times New Roman" w:hAnsi="Times New Roman" w:cs="Times New Roman"/>
            <w:color w:val="1155CC"/>
            <w:u w:val="single"/>
          </w:rPr>
          <w:t>map</w:t>
        </w:r>
      </w:hyperlink>
      <w:r>
        <w:rPr>
          <w:rFonts w:ascii="Times New Roman" w:eastAsia="Times New Roman" w:hAnsi="Times New Roman" w:cs="Times New Roman"/>
        </w:rPr>
        <w:t xml:space="preserve"> with African examples, check out the </w:t>
      </w:r>
      <w:hyperlink r:id="rId39">
        <w:r>
          <w:rPr>
            <w:rFonts w:ascii="Times New Roman" w:eastAsia="Times New Roman" w:hAnsi="Times New Roman" w:cs="Times New Roman"/>
            <w:color w:val="1155CC"/>
            <w:u w:val="single"/>
          </w:rPr>
          <w:t>Nairobi Water Fund</w:t>
        </w:r>
      </w:hyperlink>
      <w:r>
        <w:rPr>
          <w:rFonts w:ascii="Times New Roman" w:eastAsia="Times New Roman" w:hAnsi="Times New Roman" w:cs="Times New Roman"/>
        </w:rPr>
        <w:t xml:space="preserve">) are a proven way for bringing together a wide variety of stakeholders to generate financing (based on payments for water provisioning services from ecosystems) for supporting sustainable land-use practices for watershed and landscape restoration to ensure reliable water supplies for city residents, water-dependent businesses, and farmers. See the </w:t>
      </w:r>
      <w:hyperlink r:id="rId40" w:anchor="heading=h.4p29ywrpi8z6">
        <w:r>
          <w:rPr>
            <w:rFonts w:ascii="Times New Roman" w:eastAsia="Times New Roman" w:hAnsi="Times New Roman" w:cs="Times New Roman"/>
            <w:color w:val="1155CC"/>
            <w:u w:val="single"/>
          </w:rPr>
          <w:t>Finance Toolkit (Table 1)</w:t>
        </w:r>
      </w:hyperlink>
      <w:r>
        <w:rPr>
          <w:rFonts w:ascii="Times New Roman" w:eastAsia="Times New Roman" w:hAnsi="Times New Roman" w:cs="Times New Roman"/>
        </w:rPr>
        <w:t xml:space="preserve"> for a list of impact investing opportunities for promoting climate- and water-smart production practices.</w:t>
      </w:r>
      <w:r w:rsidR="004A4985">
        <w:rPr>
          <w:noProof/>
        </w:rPr>
        <w:pict w14:anchorId="0C84EF03">
          <v:rect id="_x0000_i1028" alt="" style="width:451.3pt;height:.05pt;mso-width-percent:0;mso-height-percent:0;mso-width-percent:0;mso-height-percent:0" o:hralign="center" o:hrstd="t" o:hr="t" fillcolor="#a0a0a0" stroked="f"/>
        </w:pict>
      </w:r>
    </w:p>
    <w:p w14:paraId="1C7EE000" w14:textId="77777777" w:rsidR="00277233" w:rsidRDefault="00000000">
      <w:pPr>
        <w:pBdr>
          <w:top w:val="nil"/>
          <w:left w:val="nil"/>
          <w:bottom w:val="nil"/>
          <w:right w:val="nil"/>
          <w:between w:val="nil"/>
        </w:pBdr>
        <w:spacing w:line="240" w:lineRule="auto"/>
        <w:rPr>
          <w:rFonts w:ascii="Times New Roman" w:eastAsia="Times New Roman" w:hAnsi="Times New Roman" w:cs="Times New Roman"/>
          <w:b/>
          <w:color w:val="1155CC"/>
        </w:rPr>
      </w:pPr>
      <w:r>
        <w:rPr>
          <w:rFonts w:ascii="Times New Roman" w:eastAsia="Times New Roman" w:hAnsi="Times New Roman" w:cs="Times New Roman"/>
          <w:b/>
          <w:color w:val="1155CC"/>
        </w:rPr>
        <w:t xml:space="preserve">Cost Savings in Relation to Conventional Solutions  </w:t>
      </w:r>
    </w:p>
    <w:p w14:paraId="4A64143A"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Nature-based Solutions are often more economical upfront than “conventional” grey infrastructure solutions, or they are within a short payback period, as they are largely self-regenerating and require less maintenance. Any policy maker should take this into account when making decisions on the allocation of funding, as their decisions will have a real impact on the prices their constituents pay for access to water, and, of course, money saved is money that can be invested in economic development.</w:t>
      </w:r>
    </w:p>
    <w:p w14:paraId="7C68BFB2" w14:textId="77777777" w:rsidR="00277233" w:rsidRDefault="00000000">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color w:val="1155CC"/>
        </w:rPr>
        <w:tab/>
      </w:r>
      <w:r>
        <w:rPr>
          <w:rFonts w:ascii="Times New Roman" w:eastAsia="Times New Roman" w:hAnsi="Times New Roman" w:cs="Times New Roman"/>
        </w:rPr>
        <w:t xml:space="preserve">One of the most famous examples comes from </w:t>
      </w:r>
      <w:hyperlink r:id="rId41">
        <w:r>
          <w:rPr>
            <w:rFonts w:ascii="Times New Roman" w:eastAsia="Times New Roman" w:hAnsi="Times New Roman" w:cs="Times New Roman"/>
            <w:color w:val="1155CC"/>
            <w:u w:val="single"/>
          </w:rPr>
          <w:t>New York City</w:t>
        </w:r>
      </w:hyperlink>
      <w:r>
        <w:rPr>
          <w:rFonts w:ascii="Times New Roman" w:eastAsia="Times New Roman" w:hAnsi="Times New Roman" w:cs="Times New Roman"/>
        </w:rPr>
        <w:t xml:space="preserve">, which paid land owners to leave forests intact (see “conservation easements” above) to ensure clean water supplies, costing the city </w:t>
      </w:r>
      <w:hyperlink r:id="rId42">
        <w:r>
          <w:rPr>
            <w:rFonts w:ascii="Times New Roman" w:eastAsia="Times New Roman" w:hAnsi="Times New Roman" w:cs="Times New Roman"/>
            <w:i/>
            <w:color w:val="1155CC"/>
            <w:u w:val="single"/>
          </w:rPr>
          <w:t>ten times less</w:t>
        </w:r>
      </w:hyperlink>
      <w:r>
        <w:rPr>
          <w:rFonts w:ascii="Times New Roman" w:eastAsia="Times New Roman" w:hAnsi="Times New Roman" w:cs="Times New Roman"/>
          <w:i/>
        </w:rPr>
        <w:t xml:space="preserve"> </w:t>
      </w:r>
      <w:r>
        <w:rPr>
          <w:rFonts w:ascii="Times New Roman" w:eastAsia="Times New Roman" w:hAnsi="Times New Roman" w:cs="Times New Roman"/>
        </w:rPr>
        <w:t>than building and operating a water treatment facility.</w:t>
      </w:r>
    </w:p>
    <w:p w14:paraId="598F0C91" w14:textId="77777777" w:rsidR="00277233" w:rsidRDefault="00000000">
      <w:pPr>
        <w:pBdr>
          <w:top w:val="nil"/>
          <w:left w:val="nil"/>
          <w:bottom w:val="nil"/>
          <w:right w:val="nil"/>
          <w:between w:val="nil"/>
        </w:pBdr>
        <w:spacing w:line="240" w:lineRule="auto"/>
        <w:ind w:firstLine="720"/>
        <w:rPr>
          <w:rFonts w:ascii="Times New Roman" w:eastAsia="Times New Roman" w:hAnsi="Times New Roman" w:cs="Times New Roman"/>
          <w:color w:val="222222"/>
          <w:highlight w:val="white"/>
        </w:rPr>
      </w:pPr>
      <w:r>
        <w:rPr>
          <w:rFonts w:ascii="Times New Roman" w:eastAsia="Times New Roman" w:hAnsi="Times New Roman" w:cs="Times New Roman"/>
        </w:rPr>
        <w:t xml:space="preserve">Another example from Lami Town, Fiji projected the costs of nature-based solutions (green leaves in image below) versus conventional solutions (dykes, reinforced river banks, and drainage systems) for coastal protection and flood-risk reduction. Natural solutions were significantly less expensive than conventional solutions. </w:t>
      </w:r>
      <w:r>
        <w:rPr>
          <w:rFonts w:ascii="Times New Roman" w:eastAsia="Times New Roman" w:hAnsi="Times New Roman" w:cs="Times New Roman"/>
          <w:color w:val="222222"/>
          <w:highlight w:val="white"/>
        </w:rPr>
        <w:t xml:space="preserve">Additionally, an analysis from Vietnam suggested that restoring mangroves would cost US$166 per hectare in planting, capital and maintenance, but would </w:t>
      </w:r>
      <w:hyperlink r:id="rId43" w:anchor="ref-CR23">
        <w:r>
          <w:rPr>
            <w:rFonts w:ascii="Times New Roman" w:eastAsia="Times New Roman" w:hAnsi="Times New Roman" w:cs="Times New Roman"/>
            <w:color w:val="1155CC"/>
            <w:highlight w:val="white"/>
            <w:u w:val="single"/>
          </w:rPr>
          <w:t xml:space="preserve">create benefits </w:t>
        </w:r>
        <w:r>
          <w:rPr>
            <w:rFonts w:ascii="Times New Roman" w:eastAsia="Times New Roman" w:hAnsi="Times New Roman" w:cs="Times New Roman"/>
            <w:color w:val="1155CC"/>
            <w:highlight w:val="white"/>
            <w:u w:val="single"/>
          </w:rPr>
          <w:lastRenderedPageBreak/>
          <w:t>of US$630 per hectare</w:t>
        </w:r>
      </w:hyperlink>
      <w:r>
        <w:rPr>
          <w:rFonts w:ascii="Times New Roman" w:eastAsia="Times New Roman" w:hAnsi="Times New Roman" w:cs="Times New Roman"/>
          <w:color w:val="222222"/>
          <w:highlight w:val="white"/>
        </w:rPr>
        <w:t xml:space="preserve">, including the avoided costs of sea dyke upkeep and revenue from timber and honey provisioning and fish-stock maintenance. </w:t>
      </w:r>
      <w:r>
        <w:rPr>
          <w:noProof/>
        </w:rPr>
        <w:drawing>
          <wp:anchor distT="114300" distB="114300" distL="114300" distR="114300" simplePos="0" relativeHeight="251660288" behindDoc="0" locked="0" layoutInCell="1" hidden="0" allowOverlap="1" wp14:anchorId="2CF57AA0" wp14:editId="606E0F09">
            <wp:simplePos x="0" y="0"/>
            <wp:positionH relativeFrom="column">
              <wp:posOffset>-571499</wp:posOffset>
            </wp:positionH>
            <wp:positionV relativeFrom="paragraph">
              <wp:posOffset>114300</wp:posOffset>
            </wp:positionV>
            <wp:extent cx="2792467" cy="1276350"/>
            <wp:effectExtent l="12700" t="12700" r="12700" b="127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l="26270"/>
                    <a:stretch>
                      <a:fillRect/>
                    </a:stretch>
                  </pic:blipFill>
                  <pic:spPr>
                    <a:xfrm>
                      <a:off x="0" y="0"/>
                      <a:ext cx="2792467" cy="1276350"/>
                    </a:xfrm>
                    <a:prstGeom prst="rect">
                      <a:avLst/>
                    </a:prstGeom>
                    <a:ln w="12700">
                      <a:solidFill>
                        <a:srgbClr val="000000"/>
                      </a:solidFill>
                      <a:prstDash val="solid"/>
                    </a:ln>
                  </pic:spPr>
                </pic:pic>
              </a:graphicData>
            </a:graphic>
          </wp:anchor>
        </w:drawing>
      </w:r>
    </w:p>
    <w:p w14:paraId="5FE20F15" w14:textId="77777777" w:rsidR="00277233" w:rsidRDefault="00000000">
      <w:pPr>
        <w:pBdr>
          <w:top w:val="nil"/>
          <w:left w:val="nil"/>
          <w:bottom w:val="nil"/>
          <w:right w:val="nil"/>
          <w:between w:val="nil"/>
        </w:pBdr>
        <w:spacing w:line="240" w:lineRule="auto"/>
        <w:ind w:firstLine="720"/>
        <w:rPr>
          <w:rFonts w:ascii="Times New Roman" w:eastAsia="Times New Roman" w:hAnsi="Times New Roman" w:cs="Times New Roman"/>
          <w:color w:val="1155CC"/>
        </w:rPr>
      </w:pPr>
      <w:r>
        <w:rPr>
          <w:rFonts w:ascii="Times New Roman" w:eastAsia="Times New Roman" w:hAnsi="Times New Roman" w:cs="Times New Roman"/>
          <w:color w:val="222222"/>
          <w:highlight w:val="white"/>
        </w:rPr>
        <w:t xml:space="preserve">Another analysis calculated that restoration of the </w:t>
      </w:r>
      <w:hyperlink r:id="rId45" w:anchor="ref-CR24">
        <w:r>
          <w:rPr>
            <w:rFonts w:ascii="Times New Roman" w:eastAsia="Times New Roman" w:hAnsi="Times New Roman" w:cs="Times New Roman"/>
            <w:color w:val="1155CC"/>
            <w:highlight w:val="white"/>
            <w:u w:val="single"/>
          </w:rPr>
          <w:t>Skjern River floodplain</w:t>
        </w:r>
      </w:hyperlink>
      <w:r>
        <w:rPr>
          <w:rFonts w:ascii="Times New Roman" w:eastAsia="Times New Roman" w:hAnsi="Times New Roman" w:cs="Times New Roman"/>
          <w:color w:val="222222"/>
          <w:highlight w:val="white"/>
        </w:rPr>
        <w:t xml:space="preserve"> in Denmark would cost US$44.2 million but provide net-present benefits of US$2.3 million in avoided water pumping to prevent flooding and US$84.6 million in additional co-benefits (hunting, fishing, recreational opportunities and biodiversity). Finally, CityAdapt, a UNEP project in Latin America, demonstrated that vegetated filtration ditches (an NbS) could capture the </w:t>
      </w:r>
      <w:hyperlink r:id="rId46">
        <w:r>
          <w:rPr>
            <w:rFonts w:ascii="Times New Roman" w:eastAsia="Times New Roman" w:hAnsi="Times New Roman" w:cs="Times New Roman"/>
            <w:color w:val="1155CC"/>
            <w:highlight w:val="white"/>
            <w:u w:val="single"/>
          </w:rPr>
          <w:t xml:space="preserve">same amount of rainwater for US$3 million </w:t>
        </w:r>
      </w:hyperlink>
      <w:r>
        <w:rPr>
          <w:rFonts w:ascii="Times New Roman" w:eastAsia="Times New Roman" w:hAnsi="Times New Roman" w:cs="Times New Roman"/>
          <w:color w:val="222222"/>
          <w:highlight w:val="white"/>
        </w:rPr>
        <w:t>as that of a detention pond (essentially a small dam) costing US$22 million!</w:t>
      </w:r>
    </w:p>
    <w:p w14:paraId="7E6994DB" w14:textId="77777777" w:rsidR="00277233" w:rsidRDefault="00000000">
      <w:pPr>
        <w:spacing w:line="240" w:lineRule="auto"/>
        <w:rPr>
          <w:rFonts w:ascii="Times New Roman" w:eastAsia="Times New Roman" w:hAnsi="Times New Roman" w:cs="Times New Roman"/>
          <w:b/>
          <w:color w:val="1155CC"/>
        </w:rPr>
      </w:pPr>
      <w:r>
        <w:br w:type="page"/>
      </w:r>
    </w:p>
    <w:p w14:paraId="33809BE8" w14:textId="77777777" w:rsidR="00277233" w:rsidRDefault="00000000">
      <w:pPr>
        <w:spacing w:line="240" w:lineRule="auto"/>
        <w:rPr>
          <w:rFonts w:ascii="Times New Roman" w:eastAsia="Times New Roman" w:hAnsi="Times New Roman" w:cs="Times New Roman"/>
          <w:b/>
          <w:color w:val="1155CC"/>
        </w:rPr>
      </w:pPr>
      <w:r>
        <w:rPr>
          <w:rFonts w:ascii="Times New Roman" w:eastAsia="Times New Roman" w:hAnsi="Times New Roman" w:cs="Times New Roman"/>
          <w:b/>
          <w:color w:val="1155CC"/>
        </w:rPr>
        <w:lastRenderedPageBreak/>
        <w:t>Energy</w:t>
      </w:r>
    </w:p>
    <w:p w14:paraId="67E9E0FB"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Ecosystems are crucial for ensuring reliable water supplies for hydropower production. Firstly, forests can reduce sedimentation loads (eroded soil) entering waterways </w:t>
      </w:r>
      <w:hyperlink r:id="rId47">
        <w:r>
          <w:rPr>
            <w:rFonts w:ascii="Times New Roman" w:eastAsia="Times New Roman" w:hAnsi="Times New Roman" w:cs="Times New Roman"/>
            <w:color w:val="1155CC"/>
            <w:u w:val="single"/>
          </w:rPr>
          <w:t>by up to 44%</w:t>
        </w:r>
      </w:hyperlink>
      <w:r>
        <w:rPr>
          <w:rFonts w:ascii="Times New Roman" w:eastAsia="Times New Roman" w:hAnsi="Times New Roman" w:cs="Times New Roman"/>
        </w:rPr>
        <w:t xml:space="preserve">, reducing dredging costs and improving hydroelectric power generation. Secondly, despite short-term gains in water flow from the deforestation of basins and landscapes surrounding dams (less trees to soak up water), decreases in water provisioning stemming from deforestation can </w:t>
      </w:r>
      <w:hyperlink r:id="rId48">
        <w:r>
          <w:rPr>
            <w:rFonts w:ascii="Times New Roman" w:eastAsia="Times New Roman" w:hAnsi="Times New Roman" w:cs="Times New Roman"/>
            <w:color w:val="1155CC"/>
            <w:u w:val="single"/>
          </w:rPr>
          <w:t>outweigh those gains by up to 36%</w:t>
        </w:r>
      </w:hyperlink>
      <w:r>
        <w:rPr>
          <w:rFonts w:ascii="Times New Roman" w:eastAsia="Times New Roman" w:hAnsi="Times New Roman" w:cs="Times New Roman"/>
        </w:rPr>
        <w:t xml:space="preserve"> over the long run (and the average lifespan of a dam is </w:t>
      </w:r>
      <w:hyperlink r:id="rId49">
        <w:r>
          <w:rPr>
            <w:rFonts w:ascii="Times New Roman" w:eastAsia="Times New Roman" w:hAnsi="Times New Roman" w:cs="Times New Roman"/>
            <w:color w:val="1155CC"/>
            <w:u w:val="single"/>
          </w:rPr>
          <w:t>100 years</w:t>
        </w:r>
      </w:hyperlink>
      <w:r>
        <w:rPr>
          <w:rFonts w:ascii="Times New Roman" w:eastAsia="Times New Roman" w:hAnsi="Times New Roman" w:cs="Times New Roman"/>
        </w:rPr>
        <w:t xml:space="preserve">), as less forest cover translates into less total rainfall falling in the basin or landscape. Finally, the combination of climate impacts and deforestation can greatly </w:t>
      </w:r>
      <w:hyperlink r:id="rId50">
        <w:r>
          <w:rPr>
            <w:rFonts w:ascii="Times New Roman" w:eastAsia="Times New Roman" w:hAnsi="Times New Roman" w:cs="Times New Roman"/>
            <w:color w:val="1155CC"/>
            <w:u w:val="single"/>
          </w:rPr>
          <w:t>increase the variability in interannual power production</w:t>
        </w:r>
      </w:hyperlink>
      <w:r>
        <w:rPr>
          <w:rFonts w:ascii="Times New Roman" w:eastAsia="Times New Roman" w:hAnsi="Times New Roman" w:cs="Times New Roman"/>
        </w:rPr>
        <w:t xml:space="preserve">, making power supply less reliable. Downstream consumers and businesses will suffer the consequences of deforestation in the form of higher prices and blackouts. A way to avoid these scenarios is the use of results-based payments (also called a pay-for-performance model) for watershed and landscape restoration and a shift to water- and climate-smart agricultural practices. With this approach, dam operators and utilities agree to fund restoration and production transitions by allocating a percentage of the resulting benefits (higher profits and lower expenses from avoided sedimentation, for example) derived from ecosystem restoration and agricultural transitions. Check out the </w:t>
      </w:r>
      <w:hyperlink r:id="rId51">
        <w:r>
          <w:rPr>
            <w:rFonts w:ascii="Times New Roman" w:eastAsia="Times New Roman" w:hAnsi="Times New Roman" w:cs="Times New Roman"/>
            <w:color w:val="1155CC"/>
            <w:u w:val="single"/>
          </w:rPr>
          <w:t>Blue Energy Mechanism</w:t>
        </w:r>
      </w:hyperlink>
      <w:r>
        <w:rPr>
          <w:rFonts w:ascii="Times New Roman" w:eastAsia="Times New Roman" w:hAnsi="Times New Roman" w:cs="Times New Roman"/>
        </w:rPr>
        <w:t xml:space="preserve"> to learn more. Results-based Payments are highly adaptable and can be applied to nature-based solutions in the preceding section on cost savings as well.</w:t>
      </w:r>
    </w:p>
    <w:p w14:paraId="1268E4E3" w14:textId="77777777" w:rsidR="00277233" w:rsidRDefault="004A4985">
      <w:pPr>
        <w:spacing w:line="240" w:lineRule="auto"/>
        <w:rPr>
          <w:rFonts w:ascii="Times New Roman" w:eastAsia="Times New Roman" w:hAnsi="Times New Roman" w:cs="Times New Roman"/>
          <w:b/>
        </w:rPr>
      </w:pPr>
      <w:r>
        <w:rPr>
          <w:noProof/>
        </w:rPr>
        <w:pict w14:anchorId="7943ADF9">
          <v:rect id="_x0000_i1027" alt="" style="width:451.3pt;height:.05pt;mso-width-percent:0;mso-height-percent:0;mso-width-percent:0;mso-height-percent:0" o:hralign="center" o:hrstd="t" o:hr="t" fillcolor="#a0a0a0" stroked="f"/>
        </w:pict>
      </w:r>
    </w:p>
    <w:p w14:paraId="5D219AED" w14:textId="77777777" w:rsidR="00277233" w:rsidRDefault="00000000">
      <w:pPr>
        <w:spacing w:line="240" w:lineRule="auto"/>
        <w:rPr>
          <w:rFonts w:ascii="Times New Roman" w:eastAsia="Times New Roman" w:hAnsi="Times New Roman" w:cs="Times New Roman"/>
          <w:b/>
          <w:color w:val="1155CC"/>
        </w:rPr>
      </w:pPr>
      <w:r>
        <w:rPr>
          <w:rFonts w:ascii="Times New Roman" w:eastAsia="Times New Roman" w:hAnsi="Times New Roman" w:cs="Times New Roman"/>
          <w:b/>
          <w:color w:val="1155CC"/>
        </w:rPr>
        <w:t>Gender and Vulnerable Groups</w:t>
      </w:r>
    </w:p>
    <w:p w14:paraId="6D41545B"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Using nature also benefits women and vulnerable groups. In Somalia, a project using natural solutions and IWRM not only increased water supplies for beneficiaries but also reduced the time needed to fetch water from </w:t>
      </w:r>
      <w:hyperlink r:id="rId52">
        <w:r>
          <w:rPr>
            <w:rFonts w:ascii="Times New Roman" w:eastAsia="Times New Roman" w:hAnsi="Times New Roman" w:cs="Times New Roman"/>
            <w:color w:val="1155CC"/>
            <w:u w:val="single"/>
          </w:rPr>
          <w:t>3.5 hours to 20 minutes</w:t>
        </w:r>
      </w:hyperlink>
      <w:r>
        <w:rPr>
          <w:rFonts w:ascii="Times New Roman" w:eastAsia="Times New Roman" w:hAnsi="Times New Roman" w:cs="Times New Roman"/>
        </w:rPr>
        <w:t xml:space="preserve">. This means that women and girls (most often </w:t>
      </w:r>
      <w:hyperlink r:id="rId53">
        <w:r>
          <w:rPr>
            <w:rFonts w:ascii="Times New Roman" w:eastAsia="Times New Roman" w:hAnsi="Times New Roman" w:cs="Times New Roman"/>
            <w:color w:val="1155CC"/>
            <w:u w:val="single"/>
          </w:rPr>
          <w:t>tasked</w:t>
        </w:r>
      </w:hyperlink>
      <w:r>
        <w:rPr>
          <w:rFonts w:ascii="Times New Roman" w:eastAsia="Times New Roman" w:hAnsi="Times New Roman" w:cs="Times New Roman"/>
        </w:rPr>
        <w:t xml:space="preserve"> with collecting water) have more time for education and economically productive activities, and are less exposed to </w:t>
      </w:r>
      <w:hyperlink r:id="rId54">
        <w:r>
          <w:rPr>
            <w:rFonts w:ascii="Times New Roman" w:eastAsia="Times New Roman" w:hAnsi="Times New Roman" w:cs="Times New Roman"/>
            <w:color w:val="1155CC"/>
            <w:u w:val="single"/>
          </w:rPr>
          <w:t>dangers</w:t>
        </w:r>
      </w:hyperlink>
      <w:r>
        <w:rPr>
          <w:rFonts w:ascii="Times New Roman" w:eastAsia="Times New Roman" w:hAnsi="Times New Roman" w:cs="Times New Roman"/>
        </w:rPr>
        <w:t xml:space="preserve"> such as </w:t>
      </w:r>
      <w:hyperlink r:id="rId55">
        <w:r>
          <w:rPr>
            <w:rFonts w:ascii="Times New Roman" w:eastAsia="Times New Roman" w:hAnsi="Times New Roman" w:cs="Times New Roman"/>
            <w:color w:val="1155CC"/>
            <w:u w:val="single"/>
          </w:rPr>
          <w:t>sexual assault</w:t>
        </w:r>
      </w:hyperlink>
      <w:r>
        <w:rPr>
          <w:rFonts w:ascii="Times New Roman" w:eastAsia="Times New Roman" w:hAnsi="Times New Roman" w:cs="Times New Roman"/>
        </w:rPr>
        <w:t xml:space="preserve">. Other benefits from adopting nature-based solutions and IWRM approaches are less tangible but still extremely important, including the empowerment of women and marginalised groups. A case in point: The UNEP CityAdapt project in Latin America uses a </w:t>
      </w:r>
      <w:hyperlink r:id="rId56">
        <w:r>
          <w:rPr>
            <w:rFonts w:ascii="Times New Roman" w:eastAsia="Times New Roman" w:hAnsi="Times New Roman" w:cs="Times New Roman"/>
            <w:color w:val="1155CC"/>
            <w:u w:val="single"/>
          </w:rPr>
          <w:t>gender lens</w:t>
        </w:r>
      </w:hyperlink>
      <w:r>
        <w:rPr>
          <w:rFonts w:ascii="Times New Roman" w:eastAsia="Times New Roman" w:hAnsi="Times New Roman" w:cs="Times New Roman"/>
        </w:rPr>
        <w:t xml:space="preserve"> to identify where to best focus project activities for the greatest benefit across both sexes, and equal female participation is an integral part of project design and implementation. These approaches often produce cohorts of women and representatives of marginalised groups that are stronger self-advocates and greater participants in decision making on behalf of their communities.</w:t>
      </w:r>
    </w:p>
    <w:p w14:paraId="7E4E143A" w14:textId="77777777" w:rsidR="00277233" w:rsidRDefault="004A4985">
      <w:pPr>
        <w:spacing w:line="240" w:lineRule="auto"/>
        <w:rPr>
          <w:rFonts w:ascii="Times New Roman" w:eastAsia="Times New Roman" w:hAnsi="Times New Roman" w:cs="Times New Roman"/>
          <w:b/>
        </w:rPr>
      </w:pPr>
      <w:r>
        <w:rPr>
          <w:noProof/>
        </w:rPr>
        <w:pict w14:anchorId="335A1374">
          <v:rect id="_x0000_i1026" alt="" style="width:451.3pt;height:.05pt;mso-width-percent:0;mso-height-percent:0;mso-width-percent:0;mso-height-percent:0" o:hralign="center" o:hrstd="t" o:hr="t" fillcolor="#a0a0a0" stroked="f"/>
        </w:pict>
      </w:r>
    </w:p>
    <w:p w14:paraId="146AE7F0" w14:textId="77777777" w:rsidR="00277233" w:rsidRDefault="00000000">
      <w:pPr>
        <w:spacing w:line="240" w:lineRule="auto"/>
        <w:rPr>
          <w:rFonts w:ascii="Times New Roman" w:eastAsia="Times New Roman" w:hAnsi="Times New Roman" w:cs="Times New Roman"/>
          <w:b/>
          <w:color w:val="1155CC"/>
        </w:rPr>
      </w:pPr>
      <w:r>
        <w:rPr>
          <w:rFonts w:ascii="Times New Roman" w:eastAsia="Times New Roman" w:hAnsi="Times New Roman" w:cs="Times New Roman"/>
          <w:b/>
          <w:color w:val="1155CC"/>
        </w:rPr>
        <w:t>Peace and Security</w:t>
      </w:r>
    </w:p>
    <w:p w14:paraId="6450A732" w14:textId="77777777" w:rsidR="00277233" w:rsidRDefault="00000000">
      <w:pPr>
        <w:spacing w:line="240" w:lineRule="auto"/>
        <w:rPr>
          <w:rFonts w:ascii="Times New Roman" w:eastAsia="Times New Roman" w:hAnsi="Times New Roman" w:cs="Times New Roman"/>
          <w:b/>
        </w:rPr>
      </w:pPr>
      <w:r>
        <w:rPr>
          <w:rFonts w:ascii="Times New Roman" w:eastAsia="Times New Roman" w:hAnsi="Times New Roman" w:cs="Times New Roman"/>
        </w:rPr>
        <w:t>The UNEP IWRM “</w:t>
      </w:r>
      <w:hyperlink r:id="rId57">
        <w:r>
          <w:rPr>
            <w:rFonts w:ascii="Times New Roman" w:eastAsia="Times New Roman" w:hAnsi="Times New Roman" w:cs="Times New Roman"/>
            <w:color w:val="1155CC"/>
            <w:highlight w:val="white"/>
            <w:u w:val="single"/>
          </w:rPr>
          <w:t>Wadi El Ku Catchment Management</w:t>
        </w:r>
      </w:hyperlink>
      <w:r>
        <w:rPr>
          <w:rFonts w:ascii="Times New Roman" w:eastAsia="Times New Roman" w:hAnsi="Times New Roman" w:cs="Times New Roman"/>
          <w:color w:val="1E1E1E"/>
          <w:highlight w:val="white"/>
        </w:rPr>
        <w:t>” project</w:t>
      </w:r>
      <w:r>
        <w:rPr>
          <w:rFonts w:ascii="Times New Roman" w:eastAsia="Times New Roman" w:hAnsi="Times New Roman" w:cs="Times New Roman"/>
        </w:rPr>
        <w:t xml:space="preserve"> in Darfur, Sudan has led to peace between herders and farmers in the region by tying project support and benefits to the warring groups making peace with one another. Participatory project design and  interventions using nature have since led to better pasture, more farm production, and reliable water supplies, cementing cooperation and building the trust and social cohesion needed for long-term cooperation underpinning IWRM. In total, some </w:t>
      </w:r>
      <w:hyperlink r:id="rId58">
        <w:r>
          <w:rPr>
            <w:rFonts w:ascii="Times New Roman" w:eastAsia="Times New Roman" w:hAnsi="Times New Roman" w:cs="Times New Roman"/>
            <w:color w:val="1155CC"/>
            <w:u w:val="single"/>
          </w:rPr>
          <w:t>200,000 people</w:t>
        </w:r>
      </w:hyperlink>
      <w:r>
        <w:rPr>
          <w:rFonts w:ascii="Times New Roman" w:eastAsia="Times New Roman" w:hAnsi="Times New Roman" w:cs="Times New Roman"/>
        </w:rPr>
        <w:t xml:space="preserve"> have benefited from the project’s tangible benefits and an environment of peace.</w:t>
      </w:r>
    </w:p>
    <w:p w14:paraId="052B0E2C" w14:textId="77777777" w:rsidR="00277233" w:rsidRDefault="004A4985">
      <w:pPr>
        <w:spacing w:line="240" w:lineRule="auto"/>
        <w:rPr>
          <w:rFonts w:ascii="Times New Roman" w:eastAsia="Times New Roman" w:hAnsi="Times New Roman" w:cs="Times New Roman"/>
          <w:b/>
        </w:rPr>
      </w:pPr>
      <w:r>
        <w:rPr>
          <w:noProof/>
        </w:rPr>
        <w:pict w14:anchorId="7022EF31">
          <v:rect id="_x0000_i1025" alt="" style="width:451.3pt;height:.05pt;mso-width-percent:0;mso-height-percent:0;mso-width-percent:0;mso-height-percent:0" o:hralign="center" o:hrstd="t" o:hr="t" fillcolor="#a0a0a0" stroked="f"/>
        </w:pict>
      </w:r>
    </w:p>
    <w:p w14:paraId="5FCB5BC4" w14:textId="77777777" w:rsidR="00277233" w:rsidRDefault="00000000">
      <w:pPr>
        <w:spacing w:line="240" w:lineRule="auto"/>
        <w:rPr>
          <w:rFonts w:ascii="Times New Roman" w:eastAsia="Times New Roman" w:hAnsi="Times New Roman" w:cs="Times New Roman"/>
          <w:b/>
          <w:color w:val="1155CC"/>
        </w:rPr>
      </w:pPr>
      <w:r>
        <w:rPr>
          <w:rFonts w:ascii="Times New Roman" w:eastAsia="Times New Roman" w:hAnsi="Times New Roman" w:cs="Times New Roman"/>
          <w:b/>
          <w:color w:val="1155CC"/>
        </w:rPr>
        <w:t xml:space="preserve">Partnerships </w:t>
      </w:r>
    </w:p>
    <w:p w14:paraId="178C475F"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The process of engaging stakeholders to design and implement IWRM and nature-based solutions depends on and can strengthen partnerships across governments, the private sector, NGOs or philanthropic groups, small producers, and communities. The Green Climate Fund’s</w:t>
      </w:r>
      <w:hyperlink r:id="rId59">
        <w:r>
          <w:rPr>
            <w:rFonts w:ascii="Times New Roman" w:eastAsia="Times New Roman" w:hAnsi="Times New Roman" w:cs="Times New Roman"/>
            <w:color w:val="1155CC"/>
            <w:u w:val="single"/>
          </w:rPr>
          <w:t xml:space="preserve"> Dry Corridor</w:t>
        </w:r>
      </w:hyperlink>
      <w:r>
        <w:rPr>
          <w:rFonts w:ascii="Times New Roman" w:eastAsia="Times New Roman" w:hAnsi="Times New Roman" w:cs="Times New Roman"/>
        </w:rPr>
        <w:t xml:space="preserve"> project in Central America and the Caribbean is an excellent example of how silo-breaking partnerships encompassing banks, microfinance institutes, small and large farmers, NGOs, donors, and governments emerge from and underpin IWRM and NbS projects.</w:t>
      </w:r>
    </w:p>
    <w:p w14:paraId="7B9AC0D4" w14:textId="77777777" w:rsidR="00277233" w:rsidRDefault="00277233">
      <w:pPr>
        <w:spacing w:line="240" w:lineRule="auto"/>
        <w:rPr>
          <w:rFonts w:ascii="Times New Roman" w:eastAsia="Times New Roman" w:hAnsi="Times New Roman" w:cs="Times New Roman"/>
        </w:rPr>
      </w:pPr>
    </w:p>
    <w:p w14:paraId="7AE4837E" w14:textId="77777777" w:rsidR="00277233"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Further examples can be found in </w:t>
      </w:r>
      <w:hyperlink r:id="rId60">
        <w:r>
          <w:rPr>
            <w:rFonts w:ascii="Times New Roman" w:eastAsia="Times New Roman" w:hAnsi="Times New Roman" w:cs="Times New Roman"/>
            <w:color w:val="1155CC"/>
            <w:u w:val="single"/>
          </w:rPr>
          <w:t>Evidence of Success: Nature-based Solutions for multiple development objectives</w:t>
        </w:r>
      </w:hyperlink>
      <w:r>
        <w:rPr>
          <w:rFonts w:ascii="Times New Roman" w:eastAsia="Times New Roman" w:hAnsi="Times New Roman" w:cs="Times New Roman"/>
        </w:rPr>
        <w:t xml:space="preserve">. </w:t>
      </w:r>
    </w:p>
    <w:sectPr w:rsidR="00277233">
      <w:footerReference w:type="default" r:id="rId61"/>
      <w:headerReference w:type="first" r:id="rId62"/>
      <w:footerReference w:type="first" r:id="rId6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C95C7" w14:textId="77777777" w:rsidR="004A4985" w:rsidRDefault="004A4985">
      <w:pPr>
        <w:spacing w:line="240" w:lineRule="auto"/>
      </w:pPr>
      <w:r>
        <w:separator/>
      </w:r>
    </w:p>
  </w:endnote>
  <w:endnote w:type="continuationSeparator" w:id="0">
    <w:p w14:paraId="657D0AE9" w14:textId="77777777" w:rsidR="004A4985" w:rsidRDefault="004A49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AB02" w14:textId="77777777" w:rsidR="00277233" w:rsidRDefault="00000000">
    <w:pPr>
      <w:jc w:val="right"/>
    </w:pPr>
    <w:r>
      <w:fldChar w:fldCharType="begin"/>
    </w:r>
    <w:r>
      <w:instrText>PAGE</w:instrText>
    </w:r>
    <w:r>
      <w:fldChar w:fldCharType="separate"/>
    </w:r>
    <w:r w:rsidR="0028454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65D0" w14:textId="77777777" w:rsidR="00277233" w:rsidRDefault="00000000">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This note is part of a series from an initial study in 2022, by UNEP’s Regional Office for Africa and the UNEP-DHI Centre, on mainstreaming water management in UN country work.</w:t>
    </w:r>
    <w:r>
      <w:rPr>
        <w:rFonts w:ascii="Times New Roman" w:eastAsia="Times New Roman" w:hAnsi="Times New Roman" w:cs="Times New Roman"/>
        <w:color w:val="666666"/>
        <w:sz w:val="20"/>
        <w:szCs w:val="20"/>
      </w:rPr>
      <w:t xml:space="preserve"> Last updated: 31/10/22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DBC7E" w14:textId="77777777" w:rsidR="004A4985" w:rsidRDefault="004A4985">
      <w:pPr>
        <w:spacing w:line="240" w:lineRule="auto"/>
      </w:pPr>
      <w:r>
        <w:separator/>
      </w:r>
    </w:p>
  </w:footnote>
  <w:footnote w:type="continuationSeparator" w:id="0">
    <w:p w14:paraId="5AE51A99" w14:textId="77777777" w:rsidR="004A4985" w:rsidRDefault="004A4985">
      <w:pPr>
        <w:spacing w:line="240" w:lineRule="auto"/>
      </w:pPr>
      <w:r>
        <w:continuationSeparator/>
      </w:r>
    </w:p>
  </w:footnote>
  <w:footnote w:id="1">
    <w:p w14:paraId="3F87DF23" w14:textId="77777777" w:rsidR="00277233"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UNEP and UNEP-DHI 2022. </w:t>
      </w:r>
      <w:hyperlink r:id="rId1">
        <w:r>
          <w:rPr>
            <w:rFonts w:ascii="Times New Roman" w:eastAsia="Times New Roman" w:hAnsi="Times New Roman" w:cs="Times New Roman"/>
            <w:color w:val="1155CC"/>
            <w:sz w:val="16"/>
            <w:szCs w:val="16"/>
            <w:u w:val="single"/>
          </w:rPr>
          <w:t>Rapid Needs Assessment Report</w:t>
        </w:r>
      </w:hyperlink>
      <w:r>
        <w:rPr>
          <w:rFonts w:ascii="Times New Roman" w:eastAsia="Times New Roman" w:hAnsi="Times New Roman" w:cs="Times New Roman"/>
          <w:sz w:val="16"/>
          <w:szCs w:val="16"/>
        </w:rPr>
        <w:t>: water resources management in UNSDCFs in Africa.</w:t>
      </w:r>
    </w:p>
  </w:footnote>
  <w:footnote w:id="2">
    <w:p w14:paraId="5A88114A" w14:textId="77777777" w:rsidR="00277233"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From South Africa’s 2020-2025 UN Sustainable Development Cooperation Framework, adapted from Stockholm Resilience Centre. </w:t>
      </w:r>
    </w:p>
  </w:footnote>
  <w:footnote w:id="3">
    <w:p w14:paraId="310C19FA" w14:textId="77777777" w:rsidR="00277233"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Global Water Partnership (GWP) 2000. Integrated Water Resources Management. Technical Advisory Committee, Background Paper No. 4.</w:t>
      </w:r>
    </w:p>
  </w:footnote>
  <w:footnote w:id="4">
    <w:p w14:paraId="384D5A59" w14:textId="77777777" w:rsidR="00277233"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UNEP (2021). Progress on Integrated Water Resources Management. Tracking SDG 6 series: global indicator 6.5.1 updates and acceleration needs. </w:t>
      </w:r>
      <w:hyperlink r:id="rId2">
        <w:r>
          <w:rPr>
            <w:rFonts w:ascii="Times New Roman" w:eastAsia="Times New Roman" w:hAnsi="Times New Roman" w:cs="Times New Roman"/>
            <w:color w:val="1155CC"/>
            <w:sz w:val="16"/>
            <w:szCs w:val="16"/>
            <w:u w:val="single"/>
          </w:rPr>
          <w:t>https://www.unepdhi.org/progress-on-integrated-water-resources-management-global-indicator-6-5-1-updates-and-acceleration-needs/</w:t>
        </w:r>
      </w:hyperlink>
      <w:r>
        <w:rPr>
          <w:rFonts w:ascii="Times New Roman" w:eastAsia="Times New Roman" w:hAnsi="Times New Roman" w:cs="Times New Roman"/>
          <w:sz w:val="16"/>
          <w:szCs w:val="16"/>
        </w:rPr>
        <w:t xml:space="preserve"> </w:t>
      </w:r>
    </w:p>
  </w:footnote>
  <w:footnote w:id="5">
    <w:p w14:paraId="0A8FC999" w14:textId="77777777" w:rsidR="00277233"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Three related publications: </w:t>
      </w:r>
      <w:hyperlink r:id="rId3">
        <w:r>
          <w:rPr>
            <w:rFonts w:ascii="Times New Roman" w:eastAsia="Times New Roman" w:hAnsi="Times New Roman" w:cs="Times New Roman"/>
            <w:color w:val="1155CC"/>
            <w:sz w:val="16"/>
            <w:szCs w:val="16"/>
            <w:u w:val="single"/>
          </w:rPr>
          <w:t>Nature Based Solutions for Water Management - A Primer</w:t>
        </w:r>
      </w:hyperlink>
      <w:r>
        <w:rPr>
          <w:rFonts w:ascii="Times New Roman" w:eastAsia="Times New Roman" w:hAnsi="Times New Roman" w:cs="Times New Roman"/>
          <w:sz w:val="16"/>
          <w:szCs w:val="16"/>
        </w:rPr>
        <w:t xml:space="preserve">, </w:t>
      </w:r>
      <w:hyperlink r:id="rId4">
        <w:r>
          <w:rPr>
            <w:rFonts w:ascii="Times New Roman" w:eastAsia="Times New Roman" w:hAnsi="Times New Roman" w:cs="Times New Roman"/>
            <w:color w:val="1155CC"/>
            <w:sz w:val="16"/>
            <w:szCs w:val="16"/>
            <w:u w:val="single"/>
          </w:rPr>
          <w:t>Green Infrastructure - Guide for Water Management</w:t>
        </w:r>
      </w:hyperlink>
      <w:r>
        <w:rPr>
          <w:rFonts w:ascii="Times New Roman" w:eastAsia="Times New Roman" w:hAnsi="Times New Roman" w:cs="Times New Roman"/>
          <w:sz w:val="16"/>
          <w:szCs w:val="16"/>
        </w:rPr>
        <w:t xml:space="preserve">, </w:t>
      </w:r>
      <w:hyperlink r:id="rId5">
        <w:r>
          <w:rPr>
            <w:rFonts w:ascii="Times New Roman" w:eastAsia="Times New Roman" w:hAnsi="Times New Roman" w:cs="Times New Roman"/>
            <w:color w:val="1155CC"/>
            <w:sz w:val="16"/>
            <w:szCs w:val="16"/>
            <w:u w:val="single"/>
          </w:rPr>
          <w:t>Nature-based Solutions to Emerging Water Challenges in the Asia-Pacific Region</w:t>
        </w:r>
      </w:hyperlink>
    </w:p>
  </w:footnote>
  <w:footnote w:id="6">
    <w:p w14:paraId="4935AE13" w14:textId="77777777" w:rsidR="00277233"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Three related economic studies: </w:t>
      </w:r>
      <w:hyperlink r:id="rId6">
        <w:r>
          <w:rPr>
            <w:rFonts w:ascii="Times New Roman" w:eastAsia="Times New Roman" w:hAnsi="Times New Roman" w:cs="Times New Roman"/>
            <w:color w:val="1155CC"/>
            <w:sz w:val="16"/>
            <w:szCs w:val="16"/>
            <w:u w:val="single"/>
          </w:rPr>
          <w:t>The Economics of Biodiversity: the Dasgupta Review</w:t>
        </w:r>
      </w:hyperlink>
      <w:r>
        <w:rPr>
          <w:rFonts w:ascii="Times New Roman" w:eastAsia="Times New Roman" w:hAnsi="Times New Roman" w:cs="Times New Roman"/>
          <w:sz w:val="16"/>
          <w:szCs w:val="16"/>
        </w:rPr>
        <w:t xml:space="preserve">, </w:t>
      </w:r>
      <w:hyperlink r:id="rId7">
        <w:r>
          <w:rPr>
            <w:rFonts w:ascii="Times New Roman" w:eastAsia="Times New Roman" w:hAnsi="Times New Roman" w:cs="Times New Roman"/>
            <w:color w:val="1155CC"/>
            <w:sz w:val="16"/>
            <w:szCs w:val="16"/>
            <w:u w:val="single"/>
          </w:rPr>
          <w:t>The Economic Case for Nature</w:t>
        </w:r>
      </w:hyperlink>
      <w:r>
        <w:rPr>
          <w:rFonts w:ascii="Times New Roman" w:eastAsia="Times New Roman" w:hAnsi="Times New Roman" w:cs="Times New Roman"/>
          <w:sz w:val="16"/>
          <w:szCs w:val="16"/>
        </w:rPr>
        <w:t xml:space="preserve">, </w:t>
      </w:r>
      <w:hyperlink r:id="rId8">
        <w:r>
          <w:rPr>
            <w:rFonts w:ascii="Times New Roman" w:eastAsia="Times New Roman" w:hAnsi="Times New Roman" w:cs="Times New Roman"/>
            <w:color w:val="1155CC"/>
            <w:sz w:val="16"/>
            <w:szCs w:val="16"/>
            <w:u w:val="single"/>
          </w:rPr>
          <w:t>Valuing Nature Conservation</w:t>
        </w:r>
      </w:hyperlink>
      <w:r>
        <w:rPr>
          <w:rFonts w:ascii="Times New Roman" w:eastAsia="Times New Roman" w:hAnsi="Times New Roman" w:cs="Times New Roman"/>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FF39" w14:textId="77777777" w:rsidR="0028454F" w:rsidRPr="004A61D5" w:rsidRDefault="0028454F" w:rsidP="0028454F">
    <w:pPr>
      <w:rPr>
        <w:rFonts w:ascii="Roboto" w:hAnsi="Roboto"/>
        <w:color w:val="00BDF3"/>
      </w:rPr>
    </w:pPr>
    <w:r w:rsidRPr="004A61D5">
      <w:rPr>
        <w:rFonts w:ascii="Roboto" w:hAnsi="Roboto"/>
        <w:color w:val="00BDF3"/>
      </w:rPr>
      <w:drawing>
        <wp:anchor distT="0" distB="0" distL="114300" distR="114300" simplePos="0" relativeHeight="251660288" behindDoc="0" locked="0" layoutInCell="1" allowOverlap="1" wp14:anchorId="453ED7BE" wp14:editId="16E76A0B">
          <wp:simplePos x="0" y="0"/>
          <wp:positionH relativeFrom="column">
            <wp:posOffset>0</wp:posOffset>
          </wp:positionH>
          <wp:positionV relativeFrom="paragraph">
            <wp:posOffset>-214630</wp:posOffset>
          </wp:positionV>
          <wp:extent cx="622300" cy="521335"/>
          <wp:effectExtent l="0" t="0" r="0" b="0"/>
          <wp:wrapThrough wrapText="bothSides">
            <wp:wrapPolygon edited="0">
              <wp:start x="882" y="4210"/>
              <wp:lineTo x="882" y="21048"/>
              <wp:lineTo x="8376" y="21048"/>
              <wp:lineTo x="16310" y="19995"/>
              <wp:lineTo x="20278" y="17890"/>
              <wp:lineTo x="19396" y="6840"/>
              <wp:lineTo x="18514" y="4210"/>
              <wp:lineTo x="882" y="4210"/>
            </wp:wrapPolygon>
          </wp:wrapThrough>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62230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1D5">
      <w:rPr>
        <w:rFonts w:ascii="Roboto" w:hAnsi="Roboto"/>
        <w:color w:val="00BDF3"/>
      </w:rPr>
      <w:drawing>
        <wp:anchor distT="0" distB="0" distL="114300" distR="114300" simplePos="0" relativeHeight="251659264" behindDoc="0" locked="0" layoutInCell="1" allowOverlap="1" wp14:anchorId="46DBEF8D" wp14:editId="7E81DFF7">
          <wp:simplePos x="0" y="0"/>
          <wp:positionH relativeFrom="column">
            <wp:posOffset>5016500</wp:posOffset>
          </wp:positionH>
          <wp:positionV relativeFrom="paragraph">
            <wp:posOffset>-215900</wp:posOffset>
          </wp:positionV>
          <wp:extent cx="1041400" cy="521335"/>
          <wp:effectExtent l="0" t="0" r="0" b="0"/>
          <wp:wrapThrough wrapText="bothSides">
            <wp:wrapPolygon edited="0">
              <wp:start x="0" y="0"/>
              <wp:lineTo x="0" y="21048"/>
              <wp:lineTo x="21337" y="21048"/>
              <wp:lineTo x="21337" y="0"/>
              <wp:lineTo x="0" y="0"/>
            </wp:wrapPolygon>
          </wp:wrapThrough>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2" cstate="print">
                    <a:extLst>
                      <a:ext uri="{28A0092B-C50C-407E-A947-70E740481C1C}">
                        <a14:useLocalDpi xmlns:a14="http://schemas.microsoft.com/office/drawing/2010/main"/>
                      </a:ext>
                    </a:extLst>
                  </a:blip>
                  <a:stretch>
                    <a:fillRect/>
                  </a:stretch>
                </pic:blipFill>
                <pic:spPr>
                  <a:xfrm>
                    <a:off x="0" y="0"/>
                    <a:ext cx="1041400" cy="521335"/>
                  </a:xfrm>
                  <a:prstGeom prst="rect">
                    <a:avLst/>
                  </a:prstGeom>
                </pic:spPr>
              </pic:pic>
            </a:graphicData>
          </a:graphic>
          <wp14:sizeRelH relativeFrom="margin">
            <wp14:pctWidth>0</wp14:pctWidth>
          </wp14:sizeRelH>
          <wp14:sizeRelV relativeFrom="margin">
            <wp14:pctHeight>0</wp14:pctHeight>
          </wp14:sizeRelV>
        </wp:anchor>
      </w:drawing>
    </w:r>
    <w:r w:rsidRPr="004A61D5">
      <w:rPr>
        <w:rFonts w:ascii="Roboto" w:hAnsi="Roboto"/>
        <w:color w:val="00BDF3"/>
      </w:rPr>
      <w:t>Africa Office</w:t>
    </w:r>
  </w:p>
  <w:p w14:paraId="11E61683" w14:textId="77777777" w:rsidR="00277233" w:rsidRDefault="0027723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233"/>
    <w:rsid w:val="00277233"/>
    <w:rsid w:val="0028454F"/>
    <w:rsid w:val="004A4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B797"/>
  <w15:docId w15:val="{D2C5BBF5-F51B-7A4E-A166-87EDDE4F4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8454F"/>
    <w:pPr>
      <w:tabs>
        <w:tab w:val="center" w:pos="4513"/>
        <w:tab w:val="right" w:pos="9026"/>
      </w:tabs>
      <w:spacing w:line="240" w:lineRule="auto"/>
    </w:pPr>
  </w:style>
  <w:style w:type="character" w:customStyle="1" w:styleId="HeaderChar">
    <w:name w:val="Header Char"/>
    <w:basedOn w:val="DefaultParagraphFont"/>
    <w:link w:val="Header"/>
    <w:uiPriority w:val="99"/>
    <w:rsid w:val="0028454F"/>
  </w:style>
  <w:style w:type="paragraph" w:styleId="Footer">
    <w:name w:val="footer"/>
    <w:basedOn w:val="Normal"/>
    <w:link w:val="FooterChar"/>
    <w:uiPriority w:val="99"/>
    <w:unhideWhenUsed/>
    <w:rsid w:val="0028454F"/>
    <w:pPr>
      <w:tabs>
        <w:tab w:val="center" w:pos="4513"/>
        <w:tab w:val="right" w:pos="9026"/>
      </w:tabs>
      <w:spacing w:line="240" w:lineRule="auto"/>
    </w:pPr>
  </w:style>
  <w:style w:type="character" w:customStyle="1" w:styleId="FooterChar">
    <w:name w:val="Footer Char"/>
    <w:basedOn w:val="DefaultParagraphFont"/>
    <w:link w:val="Footer"/>
    <w:uiPriority w:val="99"/>
    <w:rsid w:val="00284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anorama.solutions/en/solution/biodiversity-tax-incentives-south-africas-protected-area-network" TargetMode="External"/><Relationship Id="rId21" Type="http://schemas.openxmlformats.org/officeDocument/2006/relationships/hyperlink" Target="https://www.sciencedirect.com/science/article/pii/S2352186422001201" TargetMode="External"/><Relationship Id="rId34" Type="http://schemas.openxmlformats.org/officeDocument/2006/relationships/hyperlink" Target="https://www.wvi.org/sites/default/files/2019-12/FMNR%20Publication%203Dec_Online_0.pdf" TargetMode="External"/><Relationship Id="rId42" Type="http://schemas.openxmlformats.org/officeDocument/2006/relationships/hyperlink" Target="https://www.ecosystemmarketplace.com/articles/ecosystem-services-in-the-new-york-city-watershed-1969-12-31-2/" TargetMode="External"/><Relationship Id="rId47" Type="http://schemas.openxmlformats.org/officeDocument/2006/relationships/hyperlink" Target="https://openknowledge.worldbank.org/bitstream/handle/10986/27682/j.envsci.2016.04.014.pdf?sequence=1&amp;isAllowed=y" TargetMode="External"/><Relationship Id="rId50" Type="http://schemas.openxmlformats.org/officeDocument/2006/relationships/hyperlink" Target="https://www.nature.com/articles/s41893-020-0492-y.pdf?proof=t" TargetMode="External"/><Relationship Id="rId55" Type="http://schemas.openxmlformats.org/officeDocument/2006/relationships/hyperlink" Target="https://reliefweb.int/report/democratic-republic-congo/dr-congo-hell-earth-systematic-rape-eastern-congo" TargetMode="External"/><Relationship Id="rId63" Type="http://schemas.openxmlformats.org/officeDocument/2006/relationships/footer" Target="footer2.xml"/><Relationship Id="rId7" Type="http://schemas.openxmlformats.org/officeDocument/2006/relationships/hyperlink" Target="https://www.unepdhi.org/african-progress-on-implementing-iwrm-in-the-2030-agenda-briefing-note-2021/" TargetMode="External"/><Relationship Id="rId2" Type="http://schemas.openxmlformats.org/officeDocument/2006/relationships/settings" Target="settings.xml"/><Relationship Id="rId16" Type="http://schemas.openxmlformats.org/officeDocument/2006/relationships/hyperlink" Target="https://www.watercanada.net/feature/the-role-of-engineered-wetlands-for-water-treatment/" TargetMode="External"/><Relationship Id="rId29" Type="http://schemas.openxmlformats.org/officeDocument/2006/relationships/hyperlink" Target="https://www.nature.com/articles/nature11390" TargetMode="External"/><Relationship Id="rId11" Type="http://schemas.openxmlformats.org/officeDocument/2006/relationships/hyperlink" Target="https://www.wri.org/insights/designing-covid-19-recovery-safer-and-more-resilient-world" TargetMode="External"/><Relationship Id="rId24" Type="http://schemas.openxmlformats.org/officeDocument/2006/relationships/hyperlink" Target="https://gca.org/wp-content/uploads/2021/01/GCA-State-and-Trends-Report-2020-Online.pdf" TargetMode="External"/><Relationship Id="rId32" Type="http://schemas.openxmlformats.org/officeDocument/2006/relationships/image" Target="media/image2.png"/><Relationship Id="rId37" Type="http://schemas.openxmlformats.org/officeDocument/2006/relationships/hyperlink" Target="https://www.unepdhi.org/wp-content/uploads/sites/2/2022/05/Somalia_NbS_Final_NbS_Report.pdf" TargetMode="External"/><Relationship Id="rId40" Type="http://schemas.openxmlformats.org/officeDocument/2006/relationships/hyperlink" Target="https://docs.google.com/document/d/1z9Yd0UV6nqLU4INUUCdpfISiM8-04vWYuANBonjsZto/edit" TargetMode="External"/><Relationship Id="rId45" Type="http://schemas.openxmlformats.org/officeDocument/2006/relationships/hyperlink" Target="https://www.nature.com/articles/nclimate1463" TargetMode="External"/><Relationship Id="rId53" Type="http://schemas.openxmlformats.org/officeDocument/2006/relationships/hyperlink" Target="https://www.unicef.org/press-releases/unicef-collecting-water-often-colossal-waste-time-women-and-girls" TargetMode="External"/><Relationship Id="rId58" Type="http://schemas.openxmlformats.org/officeDocument/2006/relationships/hyperlink" Target="https://docs.google.com/document/d/18CrXXEnOTFYTgwOBaPhy8cOp6G-JSFd5/edit?usp=sharing&amp;ouid=106263932095156530582&amp;rtpof=true&amp;sd=true" TargetMode="External"/><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hyperlink" Target="https://www.mdpi.com/2227-9717/9/11/1917" TargetMode="External"/><Relationship Id="rId14" Type="http://schemas.openxmlformats.org/officeDocument/2006/relationships/hyperlink" Target="https://www.unwater.org/publications/un-world-water-development-report-2016" TargetMode="External"/><Relationship Id="rId22" Type="http://schemas.openxmlformats.org/officeDocument/2006/relationships/hyperlink" Target="https://assets.publishing.service.gov.uk/government/uploads/system/uploads/attachment_data/file/962785/The_Economics_of_Biodiversity_The_Dasgupta_Review_Full_Report.pdf" TargetMode="External"/><Relationship Id="rId27" Type="http://schemas.openxmlformats.org/officeDocument/2006/relationships/hyperlink" Target="https://docs.google.com/document/d/1_j-pkAFRDSVcQ-yJYeHh3MtZjI2qR2POYaFSKFqG7ds/edit" TargetMode="External"/><Relationship Id="rId30" Type="http://schemas.openxmlformats.org/officeDocument/2006/relationships/hyperlink" Target="https://agupubs.onlinelibrary.wiley.com/doi/epdf/10.1029/2010JD014950" TargetMode="External"/><Relationship Id="rId35" Type="http://schemas.openxmlformats.org/officeDocument/2006/relationships/hyperlink" Target="https://www.worldagroforestry.org/news/agroforestry-water-wise-farming" TargetMode="External"/><Relationship Id="rId43" Type="http://schemas.openxmlformats.org/officeDocument/2006/relationships/hyperlink" Target="https://www.nature.com/articles/nclimate1463" TargetMode="External"/><Relationship Id="rId48" Type="http://schemas.openxmlformats.org/officeDocument/2006/relationships/hyperlink" Target="https://www.pnas.org/doi/full/10.1073/pnas.1215331110" TargetMode="External"/><Relationship Id="rId56" Type="http://schemas.openxmlformats.org/officeDocument/2006/relationships/hyperlink" Target="https://cityadapt.com/en/methodology/" TargetMode="External"/><Relationship Id="rId64" Type="http://schemas.openxmlformats.org/officeDocument/2006/relationships/fontTable" Target="fontTable.xml"/><Relationship Id="rId8" Type="http://schemas.openxmlformats.org/officeDocument/2006/relationships/hyperlink" Target="https://www.unwater.org/sites/default/files/app/uploads/2021/12/SDG-6-Summary-Progress-Update-2021_Version-July-2021a.pdf" TargetMode="External"/><Relationship Id="rId51" Type="http://schemas.openxmlformats.org/officeDocument/2006/relationships/hyperlink" Target="https://www.climatefinancelab.org/project/blue-energy-mechanism/" TargetMode="External"/><Relationship Id="rId3" Type="http://schemas.openxmlformats.org/officeDocument/2006/relationships/webSettings" Target="webSettings.xml"/><Relationship Id="rId12" Type="http://schemas.openxmlformats.org/officeDocument/2006/relationships/hyperlink" Target="https://wwfeu.awsassets.panda.org/downloads/nature_hires_report_wwf_ilo.pdf" TargetMode="External"/><Relationship Id="rId17" Type="http://schemas.openxmlformats.org/officeDocument/2006/relationships/hyperlink" Target="https://iwaponline.com/wpt/article-abstract/12/1/25/20766/Performance-of-constructed-wetland-integrated-with" TargetMode="External"/><Relationship Id="rId25" Type="http://schemas.openxmlformats.org/officeDocument/2006/relationships/hyperlink" Target="http://www.seattle.gov/utilities/your-services/discounts-and-incentives/stormwater-facility-credit" TargetMode="External"/><Relationship Id="rId33" Type="http://schemas.openxmlformats.org/officeDocument/2006/relationships/hyperlink" Target="https://www.sciencedirect.com/science/article/pii/S0305750X22002042" TargetMode="External"/><Relationship Id="rId38" Type="http://schemas.openxmlformats.org/officeDocument/2006/relationships/hyperlink" Target="https://s3.amazonaws.com/tnc-craft/Map-Emerging-Water-Funds-in-Africa-June-2020_final.png?mtime=20200702191601" TargetMode="External"/><Relationship Id="rId46" Type="http://schemas.openxmlformats.org/officeDocument/2006/relationships/hyperlink" Target="https://storymaps.arcgis.com/stories/8e79beedb50042ac802845954c992c2e" TargetMode="External"/><Relationship Id="rId59" Type="http://schemas.openxmlformats.org/officeDocument/2006/relationships/hyperlink" Target="https://www.bcie.org/en/news-and-media/news/article/fondo-verde-para-el-clima-aprueba-us1743-millones-al-bcie-para-para-financiar-el-programa-del-corredor-seco-centroamericano" TargetMode="External"/><Relationship Id="rId20" Type="http://schemas.openxmlformats.org/officeDocument/2006/relationships/hyperlink" Target="https://www.researchgate.net/publication/287562882_Wetlands_Water_living_filters" TargetMode="External"/><Relationship Id="rId41" Type="http://schemas.openxmlformats.org/officeDocument/2006/relationships/hyperlink" Target="https://www.mckinsey.com/~/media/McKinsey/Business%20Functions/Sustainability/Our%20Insights/Valuing%20nature%20conservation/Valuing-nature-conservation.pdf" TargetMode="External"/><Relationship Id="rId54" Type="http://schemas.openxmlformats.org/officeDocument/2006/relationships/hyperlink" Target="https://www.reuters.com/article/us-africa-women-water/over-17-million-women-and-girls-collect-water-in-africa-at-risk-of-rape-and-disease-idUSKCN0YN5GO" TargetMode="External"/><Relationship Id="rId62"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iopscience.iop.org/article/10.1088/1748-9326/ac0210" TargetMode="External"/><Relationship Id="rId23" Type="http://schemas.openxmlformats.org/officeDocument/2006/relationships/hyperlink" Target="https://assets.publishing.service.gov.uk/government/uploads/system/uploads/attachment_data/file/962785/The_Economics_of_Biodiversity_The_Dasgupta_Review_Full_Report.pdf" TargetMode="External"/><Relationship Id="rId28" Type="http://schemas.openxmlformats.org/officeDocument/2006/relationships/hyperlink" Target="https://www.oecd.org/agriculture/topics/water-and-agriculture/" TargetMode="External"/><Relationship Id="rId36" Type="http://schemas.openxmlformats.org/officeDocument/2006/relationships/hyperlink" Target="http://blog.worldagroforestry.org/index.php/2013/06/07/agroforests-protect-watersheds/" TargetMode="External"/><Relationship Id="rId49" Type="http://schemas.openxmlformats.org/officeDocument/2006/relationships/hyperlink" Target="https://www.waterpowermagazine.com/features/featurelife-span-of-storage-dams" TargetMode="External"/><Relationship Id="rId57" Type="http://schemas.openxmlformats.org/officeDocument/2006/relationships/hyperlink" Target="https://www.unep.org/explore-topics/disasters-conflicts/where-we-work/sudan/integrated-water-resources-management?_ga=2.51828393.1470124132.1665625553-30833163.1664230304" TargetMode="External"/><Relationship Id="rId10" Type="http://schemas.openxmlformats.org/officeDocument/2006/relationships/hyperlink" Target="https://docs.google.com/document/d/1VUZMGtOs7bYROILsFlEweSO2eOhdFk2y7zhkiiGKxdo/edit?usp=sharing" TargetMode="External"/><Relationship Id="rId31" Type="http://schemas.openxmlformats.org/officeDocument/2006/relationships/hyperlink" Target="https://www.sciencedirect.com/science/article/pii/S0959378017300134" TargetMode="External"/><Relationship Id="rId44" Type="http://schemas.openxmlformats.org/officeDocument/2006/relationships/image" Target="media/image3.png"/><Relationship Id="rId52" Type="http://schemas.openxmlformats.org/officeDocument/2006/relationships/hyperlink" Target="https://www.unepdhi.org/wp-content/uploads/sites/2/2022/05/Somalia_NbS_Final_NbS_Report.pdf" TargetMode="External"/><Relationship Id="rId60" Type="http://schemas.openxmlformats.org/officeDocument/2006/relationships/hyperlink" Target="https://docs.google.com/document/u/0/d/1VUZMGtOs7bYROILsFlEweSO2eOhdFk2y7zhkiiGKxdo/edit" TargetMode="Externa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edocs.unep.org/20.500.11822/39752" TargetMode="External"/><Relationship Id="rId13" Type="http://schemas.openxmlformats.org/officeDocument/2006/relationships/hyperlink" Target="https://www.theguardian.com/environment/2022/sep/20/dutch-rewilding-project-turns-back-the-clock-500-years-aoe" TargetMode="External"/><Relationship Id="rId18" Type="http://schemas.openxmlformats.org/officeDocument/2006/relationships/hyperlink" Target="https://www.sciencedirect.com/science/article/pii/S1474706510001567" TargetMode="External"/><Relationship Id="rId39" Type="http://schemas.openxmlformats.org/officeDocument/2006/relationships/hyperlink" Target="https://www.nature.org/en-us/about-us/where-we-work/africa/stories-in-africa/nairobi-water-fun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ckinsey.com/~/media/McKinsey/Business%20Functions/Sustainability/Our%20Insights/Valuing%20nature%20conservation/Valuing-nature-conservation.pdf" TargetMode="External"/><Relationship Id="rId3" Type="http://schemas.openxmlformats.org/officeDocument/2006/relationships/hyperlink" Target="https://www.unepdhi.org/nature-based-solutions-for-water-management/" TargetMode="External"/><Relationship Id="rId7" Type="http://schemas.openxmlformats.org/officeDocument/2006/relationships/hyperlink" Target="https://openknowledge.worldbank.org/bitstream/handle/10986/35882/A-Global-Earth-Economy-Model-to-Assess-Development-Policy-Pathways.pdf?sequence=1&amp;isAllowed=y" TargetMode="External"/><Relationship Id="rId2" Type="http://schemas.openxmlformats.org/officeDocument/2006/relationships/hyperlink" Target="https://www.unepdhi.org/progress-on-integrated-water-resources-management-global-indicator-6-5-1-updates-and-acceleration-needs/" TargetMode="External"/><Relationship Id="rId1" Type="http://schemas.openxmlformats.org/officeDocument/2006/relationships/hyperlink" Target="https://docs.google.com/document/d/1c8rsVt5fI1A2ySvj763qs67713nbr23IurF3xFZNlRk/edit?usp=sharing" TargetMode="External"/><Relationship Id="rId6" Type="http://schemas.openxmlformats.org/officeDocument/2006/relationships/hyperlink" Target="https://assets.publishing.service.gov.uk/government/uploads/system/uploads/attachment_data/file/962785/The_Economics_of_Biodiversity_The_Dasgupta_Review_Full_Report.pdf" TargetMode="External"/><Relationship Id="rId5" Type="http://schemas.openxmlformats.org/officeDocument/2006/relationships/hyperlink" Target="https://www.unepdhi.org/nature-based-solutions-to-emerging-water-challenges-in-the-asia-pacific-region/" TargetMode="External"/><Relationship Id="rId4" Type="http://schemas.openxmlformats.org/officeDocument/2006/relationships/hyperlink" Target="https://www.unepdhi.org/nature-based-solutions-for-water-manag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3733</Words>
  <Characters>21283</Characters>
  <Application>Microsoft Office Word</Application>
  <DocSecurity>0</DocSecurity>
  <Lines>177</Lines>
  <Paragraphs>49</Paragraphs>
  <ScaleCrop>false</ScaleCrop>
  <Company/>
  <LinksUpToDate>false</LinksUpToDate>
  <CharactersWithSpaces>24967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Glennie</cp:lastModifiedBy>
  <cp:revision>2</cp:revision>
  <dcterms:created xsi:type="dcterms:W3CDTF">2022-10-31T03:36:00Z</dcterms:created>
  <dcterms:modified xsi:type="dcterms:W3CDTF">2022-10-31T03:36:00Z</dcterms:modified>
</cp:coreProperties>
</file>